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40"/>
          <w:szCs w:val="28"/>
        </w:rPr>
      </w:pPr>
      <w:r>
        <w:rPr>
          <w:rFonts w:hint="eastAsia" w:ascii="黑体" w:hAnsi="黑体" w:eastAsia="黑体"/>
          <w:sz w:val="40"/>
          <w:szCs w:val="28"/>
        </w:rPr>
        <w:t>河池药融园（一期）</w:t>
      </w:r>
    </w:p>
    <w:p>
      <w:pPr>
        <w:jc w:val="center"/>
        <w:rPr>
          <w:rFonts w:ascii="黑体" w:hAnsi="黑体" w:eastAsia="黑体"/>
        </w:rPr>
      </w:pPr>
      <w:r>
        <w:rPr>
          <w:rFonts w:hint="eastAsia" w:ascii="黑体" w:hAnsi="黑体" w:eastAsia="黑体"/>
          <w:sz w:val="40"/>
          <w:szCs w:val="28"/>
        </w:rPr>
        <w:t>安全风险智能化管控平台建设方案</w:t>
      </w:r>
    </w:p>
    <w:p>
      <w:pPr>
        <w:pStyle w:val="2"/>
      </w:pPr>
      <w:r>
        <w:rPr>
          <w:rFonts w:hint="eastAsia"/>
        </w:rPr>
        <w:t>项目概况</w:t>
      </w:r>
    </w:p>
    <w:p>
      <w:pPr>
        <w:pStyle w:val="3"/>
      </w:pPr>
      <w:r>
        <w:rPr>
          <w:rFonts w:hint="eastAsia"/>
        </w:rPr>
        <w:t>项目背景</w:t>
      </w:r>
    </w:p>
    <w:p>
      <w:pPr>
        <w:ind w:firstLine="640" w:firstLineChars="200"/>
      </w:pPr>
      <w:r>
        <w:rPr>
          <w:rFonts w:hint="eastAsia"/>
        </w:rPr>
        <w:t>河池市大任产业园药融园（以下简称“药融园”）是河池市大任产业园内的园中园，是专业性较强的医药化工类的产业园，药融园项目由河池市国有资本投资运营（集团）有限公司（以下简称“市国投集团”）投资建设，目前项目一期厂房建设已基本完成，属于企业集群模式，共用公用设施（水、电、气、罐区、仓库、管廊、道路等），办公区、生产区存在交叉管理。为加快推动河池药融园健康、科学、安全运营，市国投集团拟委托专业第三方负责药融园的公共区域部分运营。接受政府相关部门的监督管理。在授权范围内，协助工业园区管委会等政府监管部门对药融园及入园企业进行整体综合运营和科学监管，为河池市的医药化工产业服务，并为政府发展医药化工产业出谋划策，努力实现药融园合规、安全、生态可持续的健康发展。</w:t>
      </w:r>
    </w:p>
    <w:p>
      <w:pPr>
        <w:ind w:firstLine="640" w:firstLineChars="200"/>
      </w:pPr>
      <w:r>
        <w:rPr>
          <w:rFonts w:hint="eastAsia"/>
        </w:rPr>
        <w:t>此外，市国投集团拟建设药融园安全智能化管控平台（一期）（以下简称“药融园安全监控平台（一期）”），对药融园内的公共区域进行全面监控，接入并监控药融园入驻企业生产相关的关键数据。</w:t>
      </w:r>
    </w:p>
    <w:p>
      <w:pPr>
        <w:pStyle w:val="3"/>
        <w:rPr>
          <w:rFonts w:hint="eastAsia" w:ascii="Arial" w:hAnsi="Arial" w:eastAsia="仿宋" w:cstheme="minorBidi"/>
          <w:b w:val="0"/>
          <w:bCs w:val="0"/>
          <w:kern w:val="2"/>
          <w:sz w:val="32"/>
          <w:szCs w:val="22"/>
          <w:lang w:val="en-US" w:eastAsia="zh-CN" w:bidi="ar-SA"/>
        </w:rPr>
      </w:pPr>
      <w:r>
        <w:rPr>
          <w:rFonts w:hint="eastAsia" w:ascii="Arial" w:hAnsi="Arial" w:eastAsia="仿宋" w:cstheme="minorBidi"/>
          <w:b w:val="0"/>
          <w:bCs w:val="0"/>
          <w:kern w:val="2"/>
          <w:sz w:val="32"/>
          <w:szCs w:val="22"/>
          <w:lang w:val="en-US" w:eastAsia="zh-CN" w:bidi="ar-SA"/>
        </w:rPr>
        <w:t>项目内容概述</w:t>
      </w:r>
    </w:p>
    <w:p>
      <w:pPr>
        <w:ind w:firstLine="640" w:firstLineChars="200"/>
        <w:rPr>
          <w:rFonts w:hint="eastAsia"/>
          <w:lang w:val="en-US" w:eastAsia="zh-CN"/>
        </w:rPr>
      </w:pPr>
      <w:r>
        <w:rPr>
          <w:rFonts w:hint="eastAsia"/>
          <w:lang w:val="en-US" w:eastAsia="zh-CN"/>
        </w:rPr>
        <w:t>药融园（一期）安全监控平台监控的范围包括药融园公共区域（包括但不限于罐区、道路、危化品仓库、危废仓库、生活办公区域、危化品车辆装卸区域、配套公用工程）、入园企业的安监数据。</w:t>
      </w:r>
    </w:p>
    <w:p>
      <w:pPr>
        <w:ind w:firstLine="640" w:firstLineChars="200"/>
        <w:rPr>
          <w:rFonts w:hint="eastAsia"/>
          <w:lang w:val="en-US" w:eastAsia="zh-CN"/>
        </w:rPr>
      </w:pPr>
      <w:r>
        <w:rPr>
          <w:rFonts w:hint="eastAsia"/>
          <w:lang w:val="en-US" w:eastAsia="zh-CN"/>
        </w:rPr>
        <w:t>药融园安全监控平台（一期）建设内容包括软件系统、</w:t>
      </w:r>
      <w:bookmarkStart w:id="14" w:name="_GoBack"/>
      <w:bookmarkEnd w:id="14"/>
      <w:r>
        <w:rPr>
          <w:rFonts w:hint="eastAsia"/>
          <w:lang w:val="en-US" w:eastAsia="zh-CN"/>
        </w:rPr>
        <w:t>硬件设施、中控室、云资源及其他建设内容。详细如下：</w:t>
      </w:r>
    </w:p>
    <w:p>
      <w:pPr>
        <w:ind w:firstLine="640" w:firstLineChars="200"/>
        <w:rPr>
          <w:rFonts w:hint="eastAsia"/>
          <w:lang w:val="en-US" w:eastAsia="zh-CN"/>
        </w:rPr>
      </w:pPr>
      <w:r>
        <w:rPr>
          <w:rFonts w:hint="eastAsia"/>
          <w:lang w:val="en-US" w:eastAsia="zh-CN"/>
        </w:rPr>
        <w:t>软件系统：按照应急管理部2022年1月印发《化工园区安全风险智能化管控平台建设指南（试行）》的要求，根据药融园的实际情况，一期建设内容包括安全基础管理（园区基础信息管理、装置开停车和大检修管理）、重大危险源安全管理（重大危险源包保责任落实监督、在线监测预警）、双重预防机制（隐患整改情况督办提醒）、封闭化管理（门禁/卡口管理、出入园管理）、敏捷应急（应急预案管理、应急资源管理、应急指挥调度）。</w:t>
      </w:r>
    </w:p>
    <w:p>
      <w:pPr>
        <w:ind w:firstLine="640" w:firstLineChars="200"/>
        <w:rPr>
          <w:rFonts w:hint="eastAsia"/>
          <w:lang w:val="en-US" w:eastAsia="zh-CN"/>
        </w:rPr>
      </w:pPr>
      <w:r>
        <w:rPr>
          <w:rFonts w:hint="eastAsia"/>
          <w:lang w:val="en-US" w:eastAsia="zh-CN"/>
        </w:rPr>
        <w:t>前端硬件设施：包括公共区域视频监控系统、人员进出管理硬件系统、车辆进出口管理硬件系统、有毒有害易燃易爆气体在线检测仪。</w:t>
      </w:r>
    </w:p>
    <w:p>
      <w:pPr>
        <w:ind w:firstLine="640" w:firstLineChars="200"/>
        <w:rPr>
          <w:rFonts w:hint="eastAsia"/>
          <w:lang w:val="en-US" w:eastAsia="zh-CN"/>
        </w:rPr>
      </w:pPr>
      <w:r>
        <w:rPr>
          <w:rFonts w:hint="eastAsia"/>
          <w:lang w:val="en-US" w:eastAsia="zh-CN"/>
        </w:rPr>
        <w:t>中控室建设：中控室包括指挥大厅和本地机房，建设内容包括视频监控存储硬件、交换机、路由器、UPS系统、值守电脑、值守操作桌椅、会议研判桌椅、拼接大屏系统、音响系统等。</w:t>
      </w:r>
    </w:p>
    <w:p>
      <w:pPr>
        <w:ind w:firstLine="640" w:firstLineChars="200"/>
        <w:rPr>
          <w:rFonts w:hint="eastAsia"/>
          <w:lang w:val="en-US" w:eastAsia="zh-CN"/>
        </w:rPr>
      </w:pPr>
      <w:r>
        <w:rPr>
          <w:rFonts w:hint="eastAsia"/>
          <w:lang w:val="en-US" w:eastAsia="zh-CN"/>
        </w:rPr>
        <w:t>云资源：按年租赁，租期1年，包括应用服务器、数据库服务器、云安全等。</w:t>
      </w:r>
    </w:p>
    <w:p>
      <w:pPr>
        <w:ind w:firstLine="640" w:firstLineChars="200"/>
        <w:rPr>
          <w:rFonts w:hint="eastAsia"/>
          <w:lang w:val="en-US" w:eastAsia="zh-CN"/>
        </w:rPr>
      </w:pPr>
      <w:r>
        <w:rPr>
          <w:rFonts w:hint="eastAsia"/>
          <w:lang w:val="en-US" w:eastAsia="zh-CN"/>
        </w:rPr>
        <w:t>其他建设内容：安全等保2.0三级测评、商密方案编制及评估、商用密码改造建设、商用密码安全性测评、第三方测试和项目监理。</w:t>
      </w:r>
    </w:p>
    <w:p>
      <w:pPr>
        <w:ind w:firstLine="640" w:firstLineChars="200"/>
      </w:pPr>
      <w:r>
        <w:rPr>
          <w:rFonts w:hint="eastAsia"/>
        </w:rPr>
        <w:t>本项目是药融园（一期）建设内容的配套监控平台，待药融园建设完成后，再做药融园安全监控平台（二期），对软件系统和硬件设施进行延伸和拓展，并与药融园安全监控平台（一期）进行融合，实现对药融园公共区域的整体监控和对入驻企业的监管。</w:t>
      </w:r>
    </w:p>
    <w:p>
      <w:pPr>
        <w:numPr>
          <w:ilvl w:val="0"/>
          <w:numId w:val="4"/>
        </w:numPr>
        <w:spacing w:line="360" w:lineRule="auto"/>
      </w:pPr>
      <w:r>
        <w:rPr>
          <w:rFonts w:hint="eastAsia"/>
        </w:rPr>
        <w:t>软件系统（二期）：按照应急管理部2</w:t>
      </w:r>
      <w:r>
        <w:t>022</w:t>
      </w:r>
      <w:r>
        <w:rPr>
          <w:rFonts w:hint="eastAsia"/>
        </w:rPr>
        <w:t>年1月印发《化工园区安全风险智能化管控平台建设指南（试行）》的要求，在软件系统（一期）基础上根据园区实际情况进行完善，主要包括安全基础管理、重大危险源安全管理、双重预防机制、特殊作业管理、封闭化管理、敏捷应急。</w:t>
      </w:r>
    </w:p>
    <w:p>
      <w:pPr>
        <w:numPr>
          <w:ilvl w:val="0"/>
          <w:numId w:val="4"/>
        </w:numPr>
        <w:spacing w:line="360" w:lineRule="auto"/>
      </w:pPr>
      <w:r>
        <w:rPr>
          <w:rFonts w:hint="eastAsia"/>
        </w:rPr>
        <w:t>硬件设施建设：根据园区建设情况和运营监管需求，需实地踏勘后再确定，本方案中暂不列出。</w:t>
      </w:r>
    </w:p>
    <w:p>
      <w:pPr>
        <w:numPr>
          <w:ilvl w:val="0"/>
          <w:numId w:val="4"/>
        </w:numPr>
        <w:spacing w:line="360" w:lineRule="auto"/>
      </w:pPr>
      <w:r>
        <w:rPr>
          <w:rFonts w:hint="eastAsia"/>
        </w:rPr>
        <w:t>中控室建设：由于软件系统新增功能模块，前端硬件也须相应有所增加，具体类型和数量需据实而定，本方案中暂不列出。</w:t>
      </w:r>
    </w:p>
    <w:p>
      <w:pPr>
        <w:ind w:firstLine="640" w:firstLineChars="200"/>
      </w:pPr>
      <w:r>
        <w:rPr>
          <w:rFonts w:hint="eastAsia"/>
        </w:rPr>
        <w:t>根据实地踏勘和交流调研，大任产业园内建有集中消防救援中心，不仅服务药融园还服务整个大任产业园，未来大任产业园将建设智慧监管平台（包括安全、消防、环保等），该平台拟建设在集中消防救援中心。</w:t>
      </w:r>
    </w:p>
    <w:p>
      <w:pPr>
        <w:ind w:firstLine="480"/>
      </w:pPr>
      <w:r>
        <w:rPr>
          <w:rFonts w:hint="eastAsia"/>
        </w:rPr>
        <w:t>药融园安全监控平台（一期）项目仅负责药融园公共区域和入驻企业的安全监管，若未来大任产业园建立综合监管平台，本平台监控数据可与大任产业园智慧监管平台进行对接。</w:t>
      </w:r>
    </w:p>
    <w:p>
      <w:pPr>
        <w:ind w:firstLine="480"/>
      </w:pPr>
      <w:r>
        <w:rPr>
          <w:rFonts w:hint="eastAsia"/>
        </w:rPr>
        <w:t>本平台将采用24h值守，确保药融园安全平稳地运行。</w:t>
      </w:r>
    </w:p>
    <w:p>
      <w:pPr>
        <w:pStyle w:val="3"/>
      </w:pPr>
      <w:r>
        <w:rPr>
          <w:rFonts w:hint="eastAsia"/>
        </w:rPr>
        <w:t>项目建设意义</w:t>
      </w:r>
    </w:p>
    <w:p>
      <w:pPr>
        <w:ind w:firstLine="643" w:firstLineChars="200"/>
        <w:rPr>
          <w:b/>
          <w:bCs/>
        </w:rPr>
      </w:pPr>
      <w:r>
        <w:rPr>
          <w:rFonts w:hint="eastAsia"/>
          <w:b/>
          <w:bCs/>
        </w:rPr>
        <w:t>1、适应新形势和提高安全生产监控水平</w:t>
      </w:r>
    </w:p>
    <w:p>
      <w:pPr>
        <w:ind w:firstLine="640" w:firstLineChars="200"/>
      </w:pPr>
      <w:r>
        <w:t>安全生产是一项庞大的系统工程，需依靠安全科技其本质化作用的发挥，安全生产信息化是安全科技的重要有机组成部分，是安全生产管理科学化、现代化的有力支撑，是实现安全</w:t>
      </w:r>
      <w:r>
        <w:rPr>
          <w:rFonts w:hint="eastAsia"/>
        </w:rPr>
        <w:t>生产</w:t>
      </w:r>
      <w:r>
        <w:t>管理业务快速、准确、高效的根本保障，也是深化“双基”工作，落实“科技兴安”战略，提高安全生产管理水平和应急救援能力的重要途径。风险隐患监测预警与应急救援指挥系统是本系统的核心内容，随着安全生产信息化工作的不断推进，必然会提升</w:t>
      </w:r>
      <w:r>
        <w:rPr>
          <w:rFonts w:hint="eastAsia"/>
        </w:rPr>
        <w:t>药融园</w:t>
      </w:r>
      <w:r>
        <w:t>企业自身安全管理水平、提高</w:t>
      </w:r>
      <w:r>
        <w:rPr>
          <w:rFonts w:hint="eastAsia"/>
        </w:rPr>
        <w:t>园区</w:t>
      </w:r>
      <w:r>
        <w:t>安全</w:t>
      </w:r>
      <w:r>
        <w:rPr>
          <w:rFonts w:hint="eastAsia"/>
        </w:rPr>
        <w:t>管理</w:t>
      </w:r>
      <w:r>
        <w:t>效率、促进本质化安全、实现安全发展的效能，也必将产生更加深远的治本意义。</w:t>
      </w:r>
    </w:p>
    <w:p>
      <w:pPr>
        <w:ind w:firstLine="643" w:firstLineChars="200"/>
        <w:rPr>
          <w:b/>
          <w:bCs/>
        </w:rPr>
      </w:pPr>
      <w:r>
        <w:rPr>
          <w:rFonts w:hint="eastAsia"/>
          <w:b/>
          <w:bCs/>
        </w:rPr>
        <w:t>2、提高安全生产管理效能和加强管理能力</w:t>
      </w:r>
    </w:p>
    <w:p>
      <w:pPr>
        <w:ind w:firstLine="640" w:firstLineChars="200"/>
      </w:pPr>
      <w:r>
        <w:t>安全生产涉及面广、情况复杂、任务繁重。随着</w:t>
      </w:r>
      <w:r>
        <w:rPr>
          <w:rFonts w:hint="eastAsia"/>
        </w:rPr>
        <w:t>药融园</w:t>
      </w:r>
      <w:r>
        <w:t>日后的扩</w:t>
      </w:r>
      <w:r>
        <w:rPr>
          <w:rFonts w:hint="eastAsia"/>
        </w:rPr>
        <w:t>大</w:t>
      </w:r>
      <w:r>
        <w:t>建设以及招商引资工作</w:t>
      </w:r>
      <w:r>
        <w:rPr>
          <w:rFonts w:hint="eastAsia"/>
        </w:rPr>
        <w:t>的推进</w:t>
      </w:r>
      <w:r>
        <w:t>，</w:t>
      </w:r>
      <w:r>
        <w:rPr>
          <w:rFonts w:hint="eastAsia"/>
        </w:rPr>
        <w:t>入园</w:t>
      </w:r>
      <w:r>
        <w:t>企业</w:t>
      </w:r>
      <w:r>
        <w:rPr>
          <w:rFonts w:hint="eastAsia"/>
        </w:rPr>
        <w:t>势必</w:t>
      </w:r>
      <w:r>
        <w:t>会迎来大幅度增加，安全生产</w:t>
      </w:r>
      <w:r>
        <w:rPr>
          <w:rFonts w:hint="eastAsia"/>
        </w:rPr>
        <w:t>管理</w:t>
      </w:r>
      <w:r>
        <w:t>工作任重而道远。而面对大量监管信息，安全监管人员任务繁重，仅仅依靠</w:t>
      </w:r>
      <w:r>
        <w:rPr>
          <w:rFonts w:hint="eastAsia"/>
        </w:rPr>
        <w:t>人力</w:t>
      </w:r>
      <w:r>
        <w:t>，要实现对重点领域、重点企业、重点部位无缝隙全过程的安全监控是非常困难的，难免存有安全监管上的漏洞和盲区，</w:t>
      </w:r>
      <w:r>
        <w:rPr>
          <w:rFonts w:hint="eastAsia"/>
        </w:rPr>
        <w:t>无法及时发现异常情况并预警，</w:t>
      </w:r>
      <w:r>
        <w:t>在一定程度为生产安全事故的发生埋下了</w:t>
      </w:r>
      <w:r>
        <w:rPr>
          <w:rFonts w:hint="eastAsia"/>
        </w:rPr>
        <w:t>隐患</w:t>
      </w:r>
      <w:r>
        <w:t>。</w:t>
      </w:r>
      <w:r>
        <w:rPr>
          <w:rFonts w:hint="eastAsia"/>
        </w:rPr>
        <w:t>而安全监控平台</w:t>
      </w:r>
      <w:r>
        <w:t>系统建成后，可充分发挥信息化</w:t>
      </w:r>
      <w:r>
        <w:rPr>
          <w:rFonts w:hint="eastAsia"/>
        </w:rPr>
        <w:t>监控</w:t>
      </w:r>
      <w:r>
        <w:t>的作用，监察范围</w:t>
      </w:r>
      <w:r>
        <w:rPr>
          <w:rFonts w:hint="eastAsia"/>
        </w:rPr>
        <w:t>全覆盖</w:t>
      </w:r>
      <w:r>
        <w:t>，提高单人</w:t>
      </w:r>
      <w:r>
        <w:rPr>
          <w:rFonts w:hint="eastAsia"/>
        </w:rPr>
        <w:t>监控</w:t>
      </w:r>
      <w:r>
        <w:t>企业的数量，提高安全监管的效率和准确率，</w:t>
      </w:r>
      <w:r>
        <w:rPr>
          <w:rFonts w:hint="eastAsia"/>
        </w:rPr>
        <w:t>对发现的异常情况及时预警并快速处置，</w:t>
      </w:r>
      <w:r>
        <w:t>是</w:t>
      </w:r>
      <w:r>
        <w:rPr>
          <w:rFonts w:hint="eastAsia"/>
        </w:rPr>
        <w:t>加强管理能力</w:t>
      </w:r>
      <w:r>
        <w:t>的有效手段，符合安全生产监管发展的趋势。同时，也</w:t>
      </w:r>
      <w:r>
        <w:rPr>
          <w:rFonts w:hint="eastAsia"/>
        </w:rPr>
        <w:t>有利于</w:t>
      </w:r>
      <w:r>
        <w:t>减少生产现场对巡查监管人员可能造成的伤害。</w:t>
      </w:r>
    </w:p>
    <w:p>
      <w:pPr>
        <w:ind w:firstLine="643" w:firstLineChars="200"/>
        <w:rPr>
          <w:b/>
          <w:bCs/>
        </w:rPr>
      </w:pPr>
      <w:r>
        <w:rPr>
          <w:b/>
          <w:bCs/>
        </w:rPr>
        <w:t>3</w:t>
      </w:r>
      <w:r>
        <w:rPr>
          <w:rFonts w:hint="eastAsia"/>
          <w:b/>
          <w:bCs/>
        </w:rPr>
        <w:t>、实现园区与企业的互联互通</w:t>
      </w:r>
    </w:p>
    <w:p>
      <w:pPr>
        <w:ind w:firstLine="640" w:firstLineChars="200"/>
      </w:pPr>
      <w:r>
        <w:rPr>
          <w:rFonts w:hint="eastAsia"/>
        </w:rPr>
        <w:t>药融园建设安全智能化监控平台，不仅将药融园公共区域监控数据纳入监控范围，还对接企业的中控室将企业的监控数据接入平台，</w:t>
      </w:r>
      <w:r>
        <w:t>推动企业通过信息化手段开展自查自报自纠工作，并将相关信息报送至</w:t>
      </w:r>
      <w:r>
        <w:rPr>
          <w:rFonts w:hint="eastAsia"/>
        </w:rPr>
        <w:t>园区综合监管端</w:t>
      </w:r>
      <w:r>
        <w:t>，达到监管与企业互联互通的目的。</w:t>
      </w:r>
    </w:p>
    <w:p>
      <w:pPr>
        <w:pStyle w:val="2"/>
      </w:pPr>
      <w:r>
        <w:rPr>
          <w:rFonts w:hint="eastAsia"/>
        </w:rPr>
        <w:t>药融园（一期）安全监控平台项目整体设计</w:t>
      </w:r>
    </w:p>
    <w:p>
      <w:pPr>
        <w:pStyle w:val="3"/>
      </w:pPr>
      <w:r>
        <w:rPr>
          <w:rFonts w:hint="eastAsia"/>
        </w:rPr>
        <w:t>总体设计</w:t>
      </w:r>
    </w:p>
    <w:p>
      <w:pPr>
        <w:ind w:firstLine="480"/>
      </w:pPr>
      <w:r>
        <w:rPr>
          <w:rFonts w:hint="eastAsia"/>
        </w:rPr>
        <w:t>药融园安全监控平台按照应急管理部2</w:t>
      </w:r>
      <w:r>
        <w:t>022</w:t>
      </w:r>
      <w:r>
        <w:rPr>
          <w:rFonts w:hint="eastAsia"/>
        </w:rPr>
        <w:t>年1月印发的《化工园区安全风险智能化管控平台建设指南（试行）》的要求，建立统一的标准规范体系和安全运维保障体系，保证平台的规范、安全和稳定运行。</w:t>
      </w:r>
    </w:p>
    <w:p>
      <w:pPr>
        <w:ind w:firstLine="480"/>
      </w:pPr>
      <w:r>
        <w:rPr>
          <w:rFonts w:hint="eastAsia"/>
        </w:rPr>
        <w:t>平台</w:t>
      </w:r>
      <w:r>
        <w:t>总体</w:t>
      </w:r>
      <w:r>
        <w:rPr>
          <w:rFonts w:hint="eastAsia"/>
        </w:rPr>
        <w:t>构架</w:t>
      </w:r>
      <w:r>
        <w:t>包括基础设施层、</w:t>
      </w:r>
      <w:r>
        <w:rPr>
          <w:rFonts w:hint="eastAsia"/>
        </w:rPr>
        <w:t>网络层、</w:t>
      </w:r>
      <w:r>
        <w:t>数据层、应用支撑层、</w:t>
      </w:r>
      <w:r>
        <w:rPr>
          <w:rFonts w:hint="eastAsia"/>
        </w:rPr>
        <w:t>展示</w:t>
      </w:r>
      <w:r>
        <w:t>层，</w:t>
      </w:r>
      <w:r>
        <w:rPr>
          <w:rFonts w:hint="eastAsia"/>
        </w:rPr>
        <w:t>以工业互联网安全体系、安全</w:t>
      </w:r>
      <w:r>
        <w:t>标准体系</w:t>
      </w:r>
      <w:r>
        <w:rPr>
          <w:rFonts w:hint="eastAsia"/>
        </w:rPr>
        <w:t>。企业相关信息由企业安全监控平台通过网络与药融园安全监控平台对接。</w:t>
      </w:r>
    </w:p>
    <w:p>
      <w:r>
        <w:drawing>
          <wp:inline distT="0" distB="0" distL="0" distR="0">
            <wp:extent cx="5274310" cy="497649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4310" cy="4976495"/>
                    </a:xfrm>
                    <a:prstGeom prst="rect">
                      <a:avLst/>
                    </a:prstGeom>
                  </pic:spPr>
                </pic:pic>
              </a:graphicData>
            </a:graphic>
          </wp:inline>
        </w:drawing>
      </w:r>
    </w:p>
    <w:p>
      <w:pPr>
        <w:pStyle w:val="31"/>
      </w:pPr>
      <w:r>
        <w:rPr>
          <w:rFonts w:hint="eastAsia"/>
        </w:rPr>
        <w:t>总体构架</w:t>
      </w:r>
    </w:p>
    <w:p>
      <w:pPr>
        <w:rPr>
          <w:b/>
          <w:bCs/>
        </w:rPr>
      </w:pPr>
      <w:bookmarkStart w:id="0" w:name="_Toc7810"/>
      <w:r>
        <w:rPr>
          <w:rFonts w:hint="eastAsia"/>
          <w:b/>
          <w:bCs/>
        </w:rPr>
        <w:t>1、展现层</w:t>
      </w:r>
      <w:bookmarkEnd w:id="0"/>
    </w:p>
    <w:p>
      <w:pPr>
        <w:ind w:firstLine="480"/>
      </w:pPr>
      <w:r>
        <w:t>该层是系统和用户的交互层，用于各业务模块的展示和相关数据的录入。系统充分利用各种数据展现方式，不仅实现PC端的数据交互，同时还可以支持智能手机、大屏等更加多元的应用场景。</w:t>
      </w:r>
    </w:p>
    <w:p>
      <w:pPr>
        <w:rPr>
          <w:b/>
          <w:bCs/>
        </w:rPr>
      </w:pPr>
      <w:bookmarkStart w:id="1" w:name="_Toc24349"/>
      <w:r>
        <w:rPr>
          <w:rFonts w:hint="eastAsia"/>
          <w:b/>
          <w:bCs/>
        </w:rPr>
        <w:t>2、应用层</w:t>
      </w:r>
      <w:bookmarkEnd w:id="1"/>
    </w:p>
    <w:p>
      <w:pPr>
        <w:ind w:firstLine="480"/>
      </w:pPr>
      <w:r>
        <w:t>满足</w:t>
      </w:r>
      <w:r>
        <w:rPr>
          <w:rFonts w:hint="eastAsia"/>
        </w:rPr>
        <w:t>市国投公司及其委托的第三方服务方</w:t>
      </w:r>
      <w:r>
        <w:t>对生产经营单位</w:t>
      </w:r>
      <w:r>
        <w:rPr>
          <w:rFonts w:hint="eastAsia"/>
        </w:rPr>
        <w:t>安全生产监控</w:t>
      </w:r>
      <w:r>
        <w:t>及园区公共</w:t>
      </w:r>
      <w:r>
        <w:rPr>
          <w:rFonts w:hint="eastAsia"/>
        </w:rPr>
        <w:t>区域</w:t>
      </w:r>
      <w:r>
        <w:t>监管的需要。实现应急指挥、安全监管、一企一档、风险管控、视频监控、数据分析等多功能于一体，高效整合园区内各方资源，推进信息的共享共用，强化灾害事故风险和隐患监管，提升园区安全生产和应急救援水平。</w:t>
      </w:r>
    </w:p>
    <w:p>
      <w:pPr>
        <w:rPr>
          <w:b/>
          <w:bCs/>
        </w:rPr>
      </w:pPr>
      <w:bookmarkStart w:id="2" w:name="_Toc22551"/>
      <w:r>
        <w:rPr>
          <w:rFonts w:hint="eastAsia"/>
          <w:b/>
          <w:bCs/>
        </w:rPr>
        <w:t>3、数据层</w:t>
      </w:r>
      <w:bookmarkEnd w:id="2"/>
    </w:p>
    <w:p>
      <w:pPr>
        <w:ind w:firstLine="480"/>
      </w:pPr>
      <w:r>
        <w:t>数据层用于存储系统运行需要的所有相关数据，依托信息资源库建设，并对外提供数据读写服务。对于信息资源库已规划和设计的数据，系统直接读取和调用，对于信息资源库缺少和不完善的数据，系统实现数据的补充和写入，保证信息资源库数据的唯一性和权威性。数据主要包含以下几个大类：</w:t>
      </w:r>
    </w:p>
    <w:p>
      <w:pPr>
        <w:ind w:firstLine="480"/>
      </w:pPr>
      <w:r>
        <w:t>基础信息：包括企业基本信息，安全管理企业，属性管理，安全培训，安全投入，涉危情况，行业资质，标准化达标，职业卫生，第三方检测、检验，事故信息，责任落实情况，人员信息等。</w:t>
      </w:r>
    </w:p>
    <w:p>
      <w:pPr>
        <w:ind w:firstLine="480"/>
      </w:pPr>
      <w:r>
        <w:t>视频信息：各级视频采集功能，可实现采集实时视频以及历史视频，另外还可以包括视频截图等信息。</w:t>
      </w:r>
    </w:p>
    <w:p>
      <w:pPr>
        <w:ind w:firstLine="480"/>
      </w:pPr>
      <w:r>
        <w:t>监控信息：对前端采集设备的工作状态基本信息等进行监控。</w:t>
      </w:r>
    </w:p>
    <w:p>
      <w:pPr>
        <w:ind w:firstLine="480"/>
      </w:pPr>
      <w:r>
        <w:t>以上各类数据通过装载、清洗、抽取、分析汇总等方式统一存入信息资源库，供应用层各级应用使用。</w:t>
      </w:r>
    </w:p>
    <w:p>
      <w:pPr>
        <w:ind w:firstLine="480"/>
      </w:pPr>
      <w:r>
        <w:t>将分散、异构的应用和信息资源进行聚合，通过统一的访问入口，实现结构化数据资源、互联网资源、各种应用系统跨数据库、跨系统平台的无缝接入和集成，提供一个支持信息访问、传递、以及协作的集成化环境，实现个性化业务应用的高效开发、集成、部署与管理。</w:t>
      </w:r>
    </w:p>
    <w:p>
      <w:pPr>
        <w:rPr>
          <w:b/>
          <w:bCs/>
        </w:rPr>
      </w:pPr>
      <w:r>
        <w:rPr>
          <w:rFonts w:hint="eastAsia"/>
          <w:b/>
          <w:bCs/>
        </w:rPr>
        <w:t>4、网络层</w:t>
      </w:r>
    </w:p>
    <w:p>
      <w:pPr>
        <w:ind w:firstLine="480"/>
      </w:pPr>
      <w:r>
        <w:t>通过F5G、5G、NB-IoT、LoRa等新一代通信技术在近设备端和控制器端的应用，以地理空间为参考系，帮助园区建立覆盖范围更广、连接更多、带宽更大的基础网络，应用IPv6等新一代通信协议，以满足对海量过程数据的采集、传输、分析的需要。</w:t>
      </w:r>
    </w:p>
    <w:p>
      <w:pPr>
        <w:rPr>
          <w:b/>
          <w:bCs/>
        </w:rPr>
      </w:pPr>
      <w:bookmarkStart w:id="3" w:name="_Toc6666"/>
      <w:r>
        <w:rPr>
          <w:rFonts w:hint="eastAsia"/>
          <w:b/>
          <w:bCs/>
        </w:rPr>
        <w:t>5、基础设施层</w:t>
      </w:r>
      <w:bookmarkEnd w:id="3"/>
    </w:p>
    <w:p>
      <w:pPr>
        <w:ind w:firstLine="480"/>
      </w:pPr>
      <w:r>
        <w:t>基础设施层指系统运行需要的硬件环境和软件环境。包括采集设备、网络通讯设备、存储设备等硬件环境以及操作系统、数据库管理系统等软件环境。</w:t>
      </w:r>
    </w:p>
    <w:p>
      <w:pPr>
        <w:rPr>
          <w:b/>
          <w:bCs/>
        </w:rPr>
      </w:pPr>
      <w:bookmarkStart w:id="4" w:name="_Toc17966"/>
      <w:r>
        <w:rPr>
          <w:rFonts w:hint="eastAsia"/>
          <w:b/>
          <w:bCs/>
        </w:rPr>
        <w:t>6、运维保障体系</w:t>
      </w:r>
      <w:bookmarkEnd w:id="4"/>
    </w:p>
    <w:p>
      <w:pPr>
        <w:ind w:firstLine="480"/>
      </w:pPr>
      <w:r>
        <w:t>通过硬件隔离、软件隔离、权限控制等实现数据的访问安全。</w:t>
      </w:r>
    </w:p>
    <w:p>
      <w:pPr>
        <w:ind w:firstLine="480"/>
      </w:pPr>
      <w:r>
        <w:t>线上建立远程监控和远程部署体系，实现系统的远程运维。线下建立相应的制度和规范，并通过规范的人员培训机制，保证各平台的可靠稳定运行。</w:t>
      </w:r>
    </w:p>
    <w:p>
      <w:pPr>
        <w:rPr>
          <w:b/>
          <w:bCs/>
        </w:rPr>
      </w:pPr>
      <w:bookmarkStart w:id="5" w:name="_Toc9524"/>
      <w:r>
        <w:rPr>
          <w:rFonts w:hint="eastAsia"/>
          <w:b/>
          <w:bCs/>
        </w:rPr>
        <w:t>7、标准规范体系</w:t>
      </w:r>
      <w:bookmarkEnd w:id="5"/>
    </w:p>
    <w:p>
      <w:pPr>
        <w:ind w:firstLine="480"/>
      </w:pPr>
      <w:r>
        <w:t>执行安全相关标准规范体系，平台各功能模块参照标准规范体系执行，实现平台功能模块合法合规。</w:t>
      </w:r>
    </w:p>
    <w:p>
      <w:pPr>
        <w:pStyle w:val="3"/>
      </w:pPr>
      <w:r>
        <w:rPr>
          <w:rFonts w:hint="eastAsia"/>
        </w:rPr>
        <w:t>技术指标</w:t>
      </w:r>
    </w:p>
    <w:p>
      <w:pPr>
        <w:pStyle w:val="4"/>
      </w:pPr>
      <w:r>
        <w:rPr>
          <w:rFonts w:hint="eastAsia"/>
        </w:rPr>
        <w:t>技术路线</w:t>
      </w:r>
    </w:p>
    <w:p>
      <w:pPr>
        <w:numPr>
          <w:ilvl w:val="0"/>
          <w:numId w:val="5"/>
        </w:numPr>
        <w:spacing w:line="360" w:lineRule="auto"/>
      </w:pPr>
      <w:r>
        <w:t>应用平台：平台系统遵循.NET标准；</w:t>
      </w:r>
    </w:p>
    <w:p>
      <w:pPr>
        <w:numPr>
          <w:ilvl w:val="0"/>
          <w:numId w:val="5"/>
        </w:numPr>
        <w:spacing w:line="360" w:lineRule="auto"/>
      </w:pPr>
      <w:r>
        <w:t xml:space="preserve">运行模式：B/S模式的五层架构； </w:t>
      </w:r>
    </w:p>
    <w:p>
      <w:pPr>
        <w:numPr>
          <w:ilvl w:val="0"/>
          <w:numId w:val="5"/>
        </w:numPr>
        <w:spacing w:line="360" w:lineRule="auto"/>
      </w:pPr>
      <w:r>
        <w:t>扩展接口：基于Web Service标准规范，采用XML的数据传输格式；低耦合应用组件进行分布式部署、组合和使用，具备未来可扩展增减业务模块的架构；</w:t>
      </w:r>
    </w:p>
    <w:p>
      <w:pPr>
        <w:numPr>
          <w:ilvl w:val="0"/>
          <w:numId w:val="5"/>
        </w:numPr>
        <w:spacing w:line="360" w:lineRule="auto"/>
      </w:pPr>
      <w:r>
        <w:t xml:space="preserve">安全架构：符合HTTPS的安全架构； </w:t>
      </w:r>
    </w:p>
    <w:p>
      <w:pPr>
        <w:numPr>
          <w:ilvl w:val="0"/>
          <w:numId w:val="5"/>
        </w:numPr>
        <w:spacing w:line="360" w:lineRule="auto"/>
      </w:pPr>
      <w:r>
        <w:t>操作系统：支持Windows操作系统；</w:t>
      </w:r>
    </w:p>
    <w:p>
      <w:pPr>
        <w:numPr>
          <w:ilvl w:val="0"/>
          <w:numId w:val="5"/>
        </w:numPr>
        <w:spacing w:line="360" w:lineRule="auto"/>
      </w:pPr>
      <w:r>
        <w:t>权限控制：基于角色的访问控制RBAC模型的权限控制，可动态支持功能操作权限和数据访问权限灵活配置；</w:t>
      </w:r>
    </w:p>
    <w:p>
      <w:pPr>
        <w:numPr>
          <w:ilvl w:val="0"/>
          <w:numId w:val="5"/>
        </w:numPr>
        <w:spacing w:line="360" w:lineRule="auto"/>
      </w:pPr>
      <w:r>
        <w:t>登录模式：支持单点登录与统一安全认证；</w:t>
      </w:r>
    </w:p>
    <w:p>
      <w:pPr>
        <w:ind w:firstLine="480"/>
      </w:pPr>
      <w:r>
        <w:rPr>
          <w:rFonts w:hint="eastAsia"/>
        </w:rPr>
        <w:t>1、安全大数据分析技术</w:t>
      </w:r>
    </w:p>
    <w:p>
      <w:pPr>
        <w:ind w:firstLine="480"/>
      </w:pPr>
      <w:r>
        <w:t>为处理安全生产监管系统平台的安全隐患数据和用户访问数据，需要采用大数据分析架构</w:t>
      </w:r>
      <w:r>
        <w:rPr>
          <w:rFonts w:hint="eastAsia"/>
        </w:rPr>
        <w:t>，</w:t>
      </w:r>
      <w:r>
        <w:t>源数据使用分布式文件存储分布式非结构化数据库进行存储，采用列存储、高效压缩、粗粒度智能索引等多项大数据处理技术，结合MPP架构高效的分布式计算模式，完成对海量安全生产信息化数据的分析应用的支撑。</w:t>
      </w:r>
    </w:p>
    <w:p>
      <w:pPr>
        <w:ind w:firstLine="480"/>
      </w:pPr>
      <w:r>
        <w:t>在安全生产信息化大数据分析上，通过四个步骤进行设计，分别为数据采集、数据处理、数据存储、数据分析。</w:t>
      </w:r>
    </w:p>
    <w:p>
      <w:pPr>
        <w:numPr>
          <w:ilvl w:val="0"/>
          <w:numId w:val="6"/>
        </w:numPr>
        <w:spacing w:line="360" w:lineRule="auto"/>
      </w:pPr>
      <w:r>
        <w:t>数据采集</w:t>
      </w:r>
    </w:p>
    <w:p>
      <w:pPr>
        <w:ind w:firstLine="480"/>
      </w:pPr>
      <w:r>
        <w:t>安全生产监管系统平台对企业安全生产管理应用数据的采集方式有多种，包括：数据接口对接、数据导入、账号录入方式，通过数据采集可以收集到企业安全生产管理数据，数据范围包括风险数据、隐患数据、安全知识、法律法规、标准规范、事故案例等。</w:t>
      </w:r>
    </w:p>
    <w:p>
      <w:pPr>
        <w:numPr>
          <w:ilvl w:val="0"/>
          <w:numId w:val="6"/>
        </w:numPr>
        <w:spacing w:line="360" w:lineRule="auto"/>
      </w:pPr>
      <w:r>
        <w:t>数据处理</w:t>
      </w:r>
    </w:p>
    <w:p>
      <w:pPr>
        <w:ind w:firstLine="480"/>
      </w:pPr>
      <w:r>
        <w:t>依据安全生产监管系统平台标准的数据接口和规范，对采集的数据进行数据转换、数据加工、数据清洗，同时需要对数据的安全性、有效性、完整性进行校验，同时需要根据数据存储分析的要求，进行数据处理优化工作，以便于数据存储和数据分析时有较高的效率。</w:t>
      </w:r>
    </w:p>
    <w:p>
      <w:pPr>
        <w:numPr>
          <w:ilvl w:val="0"/>
          <w:numId w:val="6"/>
        </w:numPr>
        <w:spacing w:line="360" w:lineRule="auto"/>
      </w:pPr>
      <w:r>
        <w:t>数据</w:t>
      </w:r>
      <w:r>
        <w:rPr>
          <w:rFonts w:ascii="Times New Roman" w:hAnsi="Times New Roman" w:eastAsia="宋体"/>
        </w:rPr>
        <w:t>存储</w:t>
      </w:r>
    </w:p>
    <w:p>
      <w:pPr>
        <w:ind w:firstLine="480"/>
      </w:pPr>
      <w:r>
        <w:t>针对不同的数据，依据数据的属性、特征、性质等，进行数据的区分和分类，对于结构化固定的数据存储至关系数据库MySql中，以进行数据的统计、分析、查询、展现；对于经常查询使用且多变的数据存储至缓存数据库Redis中；对于非结构化数据空间较大且变化较少的数据存储至存储服务器中，便于访问和使用。</w:t>
      </w:r>
    </w:p>
    <w:p>
      <w:pPr>
        <w:numPr>
          <w:ilvl w:val="0"/>
          <w:numId w:val="6"/>
        </w:numPr>
        <w:spacing w:line="360" w:lineRule="auto"/>
      </w:pPr>
      <w:r>
        <w:t>数据</w:t>
      </w:r>
      <w:r>
        <w:rPr>
          <w:rFonts w:ascii="Times New Roman" w:hAnsi="Times New Roman" w:eastAsia="宋体"/>
        </w:rPr>
        <w:t>分析</w:t>
      </w:r>
    </w:p>
    <w:p>
      <w:pPr>
        <w:ind w:firstLine="480"/>
      </w:pPr>
      <w:r>
        <w:t>结合安全生产监管系统平台需求，对采集处理的安全风险数据和隐患数据等各数据进行多维度的数据分析和展现，包括对隐患整改情况分析、教育培训情况分析、证照情况分析、设备设施情况分析、特种设备分析、职业健康情况分析、应急演练分析、风险管控分析等，并以多种直观、动态的化方式进行展现，如地图热点、趋势图、雷达图、条形图、散点图等。通过大数据采集和分析，为企业安全生产进行数据的反馈以及决策分析。</w:t>
      </w:r>
    </w:p>
    <w:p>
      <w:pPr>
        <w:pStyle w:val="4"/>
      </w:pPr>
      <w:r>
        <w:rPr>
          <w:rFonts w:hint="eastAsia"/>
        </w:rPr>
        <w:t>系统安全</w:t>
      </w:r>
    </w:p>
    <w:p>
      <w:pPr>
        <w:ind w:firstLine="480"/>
      </w:pPr>
      <w:r>
        <w:t>平台采用Web技术实现，在具有方便实用优点的同时，存在一些安全威胁和隐患，</w:t>
      </w:r>
      <w:r>
        <w:rPr>
          <w:rFonts w:hint="eastAsia"/>
        </w:rPr>
        <w:t>安全等级达到安全等保2</w:t>
      </w:r>
      <w:r>
        <w:t>.0</w:t>
      </w:r>
      <w:r>
        <w:rPr>
          <w:rFonts w:hint="eastAsia"/>
        </w:rPr>
        <w:t>三级标准，</w:t>
      </w:r>
      <w:r>
        <w:t>在平台上构建应用时已充分考虑以下的安全问题：</w:t>
      </w:r>
    </w:p>
    <w:p>
      <w:pPr>
        <w:ind w:firstLine="480"/>
      </w:pPr>
      <w:r>
        <w:rPr>
          <w:rFonts w:hint="eastAsia"/>
        </w:rPr>
        <w:t>（1）</w:t>
      </w:r>
      <w:r>
        <w:t>基于用户角色的权限控制实现应用层安全。</w:t>
      </w:r>
    </w:p>
    <w:p>
      <w:pPr>
        <w:ind w:firstLine="480"/>
      </w:pPr>
      <w:r>
        <w:t>一是严格控制不经授权的用户访问系统。二是每个合法访问系统的用户都具备一定的权限，以限制其操作范围。在业务系统操作时，只有具备相应业务系统操作权限的人员，才可办理相应的业务。将结合统一用户与权限管理实现基于用户角色的权限控制实现应用层安全。</w:t>
      </w:r>
    </w:p>
    <w:p>
      <w:pPr>
        <w:ind w:firstLine="480"/>
      </w:pPr>
      <w:r>
        <w:rPr>
          <w:rFonts w:hint="eastAsia"/>
        </w:rPr>
        <w:t>（2）</w:t>
      </w:r>
      <w:r>
        <w:t>权限管理方案</w:t>
      </w:r>
    </w:p>
    <w:p>
      <w:pPr>
        <w:ind w:firstLine="480"/>
      </w:pPr>
      <w:r>
        <w:t>对岗位（角色）的授权分为两个部分，一是业务操作的授权，菜单功能授权，二是数据的授权。通过管理员对不同部门进行分别设置不同的角色，通过各种角色进行分配菜单和功能的权限，以及设置不同的数据权限。</w:t>
      </w:r>
    </w:p>
    <w:p>
      <w:pPr>
        <w:ind w:firstLine="480"/>
      </w:pPr>
      <w:r>
        <w:rPr>
          <w:rFonts w:hint="eastAsia"/>
        </w:rPr>
        <w:t>（3）</w:t>
      </w:r>
      <w:r>
        <w:t>加密策略</w:t>
      </w:r>
    </w:p>
    <w:p>
      <w:pPr>
        <w:ind w:firstLine="480"/>
      </w:pPr>
      <w:r>
        <w:t>加密主要包括数据的加密传输和数据的加密存储。</w:t>
      </w:r>
    </w:p>
    <w:p>
      <w:pPr>
        <w:ind w:firstLine="480"/>
      </w:pPr>
      <w:r>
        <w:t>对于普通数据加密传输，可以通过SSL 加密在 Internet 上传输，保证数据不被窃取。</w:t>
      </w:r>
    </w:p>
    <w:p>
      <w:pPr>
        <w:ind w:firstLine="480"/>
      </w:pPr>
      <w:r>
        <w:t>对于保密程度较高的信息可以加密存储，提供一个加密模块，采用 RSA 加密算法进行加密。通过加密模块，用户可以选择需要加密的数据表并存储下来。所有需要加密的数据表的数据在存储之前都需要通过加密模块检测，如果数据需要加密存储，则调用加密算法进行加密，加密后的密文存放倒数据库中；如果不需要加密，则直接存储明文。同样，在调阅数据的时候，如果是加密数据则通过加密算法进行解密还原成明文，展现在用户面前；否则直接提取数据展现在用户面前。</w:t>
      </w:r>
    </w:p>
    <w:p>
      <w:pPr>
        <w:ind w:firstLine="480"/>
      </w:pPr>
      <w:r>
        <w:rPr>
          <w:rFonts w:hint="eastAsia"/>
        </w:rPr>
        <w:t>（4）</w:t>
      </w:r>
      <w:r>
        <w:t>信息保密</w:t>
      </w:r>
    </w:p>
    <w:p>
      <w:pPr>
        <w:ind w:firstLine="480"/>
      </w:pPr>
      <w:r>
        <w:t>由于网络的互联性和开放性，信息在网络中的传输不可避免地存在被监听的可能，要实现信息传输的保密性只有对信息进行加密，以密文方式传输，即使被监听，监听者也无法明白密文所表示的信息。平台对采集或传输的数据按照标准的加密组件进行了数据的加密，当数据到达后由对应的解密组件进行解密，提供了信息的加解密机制。</w:t>
      </w:r>
    </w:p>
    <w:p>
      <w:pPr>
        <w:ind w:firstLine="480"/>
      </w:pPr>
      <w:r>
        <w:t>信息也可能在传输过程中被截获篡改后再转发出去，造成信息的完整性受损，平台安全管理平台对接收后数据采用完整性校验算法进行完整性校验，被改动的信息即被认为是无效信息，并对无效信息进行丢弃不予保存，以此保证信息的完整性。</w:t>
      </w:r>
    </w:p>
    <w:p>
      <w:pPr>
        <w:pStyle w:val="4"/>
      </w:pPr>
      <w:r>
        <w:rPr>
          <w:rFonts w:hint="eastAsia"/>
        </w:rPr>
        <w:t>性能指标</w:t>
      </w:r>
    </w:p>
    <w:p>
      <w:pPr>
        <w:ind w:firstLine="480"/>
      </w:pPr>
      <w:r>
        <w:rPr>
          <w:rFonts w:hint="eastAsia"/>
        </w:rPr>
        <w:t>（1）</w:t>
      </w:r>
      <w:r>
        <w:t>本项目平台对登陆的用户进行身份识别和鉴别，身份标识应具有唯一性，身份鉴别信息宜具备一定复杂度并定期更换。</w:t>
      </w:r>
    </w:p>
    <w:p>
      <w:pPr>
        <w:ind w:firstLine="480"/>
      </w:pPr>
      <w:r>
        <w:rPr>
          <w:rFonts w:hint="eastAsia"/>
        </w:rPr>
        <w:t>（2）</w:t>
      </w:r>
      <w:r>
        <w:t>平台具有登陆失败处理功能，配置并启用结束会话、限制非法</w:t>
      </w:r>
      <w:r>
        <w:rPr>
          <w:rFonts w:hint="eastAsia"/>
        </w:rPr>
        <w:t>登录次数</w:t>
      </w:r>
      <w:r>
        <w:t>和当登陆连接超时自动退出等功能。</w:t>
      </w:r>
    </w:p>
    <w:p>
      <w:pPr>
        <w:ind w:firstLine="480"/>
      </w:pPr>
      <w:r>
        <w:rPr>
          <w:rFonts w:hint="eastAsia"/>
        </w:rPr>
        <w:t>（3）</w:t>
      </w:r>
      <w:r>
        <w:t>当进行远程管理时，平台采用https 协议访问方式，防止鉴别信息在网络传输工程中被窃听等。</w:t>
      </w:r>
    </w:p>
    <w:p>
      <w:pPr>
        <w:ind w:firstLine="480"/>
      </w:pPr>
      <w:r>
        <w:rPr>
          <w:rFonts w:hint="eastAsia"/>
        </w:rPr>
        <w:t>（4）</w:t>
      </w:r>
      <w:r>
        <w:t>平台采用口令、密码技术、生物技术等两种或两种以上组合的鉴别技术对用户进行身份鉴别，且其中一种鉴别技术至少应使用密码技术来实现。</w:t>
      </w:r>
    </w:p>
    <w:p>
      <w:pPr>
        <w:ind w:firstLine="480"/>
      </w:pPr>
      <w:r>
        <w:rPr>
          <w:rFonts w:hint="eastAsia"/>
        </w:rPr>
        <w:t>（5）</w:t>
      </w:r>
      <w:r>
        <w:t>提供重要数据的本地数据备份与恢复功能。</w:t>
      </w:r>
    </w:p>
    <w:p>
      <w:pPr>
        <w:ind w:firstLine="480"/>
      </w:pPr>
      <w:r>
        <w:rPr>
          <w:rFonts w:hint="eastAsia"/>
        </w:rPr>
        <w:t>（6）</w:t>
      </w:r>
      <w:r>
        <w:t>宜提供异地实时备份功能，利用通信网络将重要数据实时备份至备份场地。对重要数据服务器进行一次完全的系统的灾难备份，将系统及其上数据（成果数据或非成果数据）完全备份到磁带库中，将灾难备份介质按照介质安全措施安全保存。</w:t>
      </w:r>
    </w:p>
    <w:p>
      <w:pPr>
        <w:ind w:firstLine="480"/>
      </w:pPr>
      <w:r>
        <w:rPr>
          <w:rFonts w:hint="eastAsia"/>
        </w:rPr>
        <w:t>（7）</w:t>
      </w:r>
      <w:r>
        <w:t>保证鉴别信息所在的存储空间被释放或重新分配得到完全清除。</w:t>
      </w:r>
    </w:p>
    <w:p>
      <w:pPr>
        <w:ind w:firstLine="480"/>
      </w:pPr>
      <w:r>
        <w:rPr>
          <w:rFonts w:hint="eastAsia"/>
        </w:rPr>
        <w:t>（8）</w:t>
      </w:r>
      <w:r>
        <w:t>保证存在敏感数据的存储空间被释放或重新分配前得到完全清除。</w:t>
      </w:r>
    </w:p>
    <w:p>
      <w:pPr>
        <w:ind w:firstLine="480"/>
      </w:pPr>
      <w:r>
        <w:rPr>
          <w:rFonts w:hint="eastAsia"/>
        </w:rPr>
        <w:t>（9）</w:t>
      </w:r>
      <w:r>
        <w:t>平台仅采集和保存业务必要的用户个人信息。</w:t>
      </w:r>
    </w:p>
    <w:p>
      <w:pPr>
        <w:ind w:firstLine="480"/>
      </w:pPr>
      <w:r>
        <w:rPr>
          <w:rFonts w:hint="eastAsia"/>
        </w:rPr>
        <w:t>（10）</w:t>
      </w:r>
      <w:r>
        <w:t>应禁止未授权访问和非法使用用户个人信息。</w:t>
      </w:r>
    </w:p>
    <w:p>
      <w:pPr>
        <w:pStyle w:val="4"/>
      </w:pPr>
      <w:r>
        <w:rPr>
          <w:rFonts w:hint="eastAsia"/>
        </w:rPr>
        <w:t>数据建设</w:t>
      </w:r>
    </w:p>
    <w:p>
      <w:pPr>
        <w:ind w:firstLine="480"/>
      </w:pPr>
      <w:r>
        <w:t>平台数据量主要是检测数据，在不影响系统使用的情况下，通过扩展存储空间，适应未来业务数据容量的增长。</w:t>
      </w:r>
    </w:p>
    <w:p>
      <w:pPr>
        <w:ind w:firstLine="480"/>
      </w:pPr>
      <w:r>
        <w:t>按照安全生产监管系统平台的数据需要，建立起适合安全生产的资源特点、内容分布及发展状况的，能容纳多种资源类型的一体化分类结构；应符合系统的性质，以适合用户需求的方式构建；具有较好的灵活性、通用性，同时操作应尽可能简便，以建立并制定安全生产监管系统平台标准数据规范。</w:t>
      </w:r>
    </w:p>
    <w:p>
      <w:pPr>
        <w:ind w:firstLine="480"/>
      </w:pPr>
      <w:bookmarkStart w:id="6" w:name="_Toc10643041"/>
      <w:r>
        <w:rPr>
          <w:rFonts w:hint="eastAsia"/>
        </w:rPr>
        <w:t>（1）</w:t>
      </w:r>
      <w:r>
        <w:t>数据规则</w:t>
      </w:r>
      <w:bookmarkEnd w:id="6"/>
    </w:p>
    <w:p>
      <w:pPr>
        <w:ind w:firstLine="480"/>
      </w:pPr>
      <w:r>
        <w:t>数据库中表名为英文名称，所有字段都用字段的英文名称表示。</w:t>
      </w:r>
    </w:p>
    <w:p>
      <w:pPr>
        <w:ind w:firstLine="480"/>
      </w:pPr>
      <w:r>
        <w:t>字符集采用UTF-8，请注意字符的转换。</w:t>
      </w:r>
    </w:p>
    <w:p>
      <w:pPr>
        <w:ind w:firstLine="480"/>
      </w:pPr>
      <w:r>
        <w:t>所有数据表第一个字段都是系统内部使用主键列，自增字段，不可空，名称为：id，数据类型为：int，确保不把此字段暴露给最终用户。</w:t>
      </w:r>
    </w:p>
    <w:p>
      <w:pPr>
        <w:ind w:firstLine="480"/>
      </w:pPr>
      <w:r>
        <w:t>除特别说明外，所有字符串字段都采用varchar(50)类型，(无论汉字还是英文，都算一个字符）。</w:t>
      </w:r>
    </w:p>
    <w:p>
      <w:pPr>
        <w:ind w:firstLine="480"/>
      </w:pPr>
      <w:r>
        <w:t>除特别说明外，所有小数的字段都采用float的形式表达。</w:t>
      </w:r>
    </w:p>
    <w:p>
      <w:pPr>
        <w:ind w:firstLine="480"/>
      </w:pPr>
      <w:r>
        <w:t>除特别说明外，所有日期格式都采用datetime格式。</w:t>
      </w:r>
    </w:p>
    <w:p>
      <w:pPr>
        <w:ind w:firstLine="480"/>
      </w:pPr>
      <w:r>
        <w:t>除特别说明外，所有整形都采用int格式。</w:t>
      </w:r>
    </w:p>
    <w:p>
      <w:pPr>
        <w:ind w:firstLine="480"/>
      </w:pPr>
      <w:r>
        <w:t>除特别说明外，所有字段默认都设置为null。</w:t>
      </w:r>
    </w:p>
    <w:p>
      <w:pPr>
        <w:ind w:firstLine="480"/>
      </w:pPr>
      <w:r>
        <w:rPr>
          <w:rFonts w:hint="eastAsia"/>
        </w:rPr>
        <w:t>（2）安全性设计</w:t>
      </w:r>
    </w:p>
    <w:p>
      <w:pPr>
        <w:ind w:firstLine="480"/>
      </w:pPr>
      <w:r>
        <w:rPr>
          <w:rFonts w:hint="eastAsia"/>
        </w:rPr>
        <w:t>①</w:t>
      </w:r>
      <w:r>
        <w:t>防止用户直接操作数据库的方法</w:t>
      </w:r>
    </w:p>
    <w:p>
      <w:pPr>
        <w:ind w:firstLine="480"/>
      </w:pPr>
      <w:r>
        <w:t>在管理方面，用户只能用帐号密码登录相关系统，通过应用软件访问数据库，而没有其它途径操作数据库。系统管理员</w:t>
      </w:r>
      <w:r>
        <w:rPr>
          <w:rFonts w:hint="eastAsia"/>
        </w:rPr>
        <w:t>对数据进行</w:t>
      </w:r>
      <w:r>
        <w:t>操作后都有一项操作记录进行保存。</w:t>
      </w:r>
    </w:p>
    <w:p>
      <w:pPr>
        <w:ind w:firstLine="480"/>
      </w:pPr>
      <w:r>
        <w:t>为防止用户非法登陆，在用户创建的同时，每个用户都必须确定自己的密码。用户只用在登陆系统以后，才可进行数据操作（如：查询、删除、添加以及更新）。</w:t>
      </w:r>
      <w:r>
        <w:rPr>
          <w:rFonts w:hint="eastAsia"/>
        </w:rPr>
        <w:t>在用户登录</w:t>
      </w:r>
      <w:r>
        <w:t>时，如果的确忘记密码，只有通过找回密码功能进行修改或找回密码后再登陆。</w:t>
      </w:r>
    </w:p>
    <w:p>
      <w:pPr>
        <w:ind w:firstLine="480"/>
      </w:pPr>
      <w:r>
        <w:t>此外，为保证数据库内数据的安全性，要求在数据输入和更改时进行数据检测（如：范围、格式等），可以通过正则表达式实现。一致性方面，主要考虑有多个用户进行数据操作时，对于数据库更新、修改等要求互斥访问，有系统信息提示。</w:t>
      </w:r>
    </w:p>
    <w:p>
      <w:pPr>
        <w:ind w:firstLine="480"/>
      </w:pPr>
      <w:r>
        <w:rPr>
          <w:rFonts w:hint="eastAsia"/>
        </w:rPr>
        <w:t>②</w:t>
      </w:r>
      <w:r>
        <w:t>用户密码的加密方法</w:t>
      </w:r>
    </w:p>
    <w:p>
      <w:pPr>
        <w:ind w:firstLine="480"/>
      </w:pPr>
      <w:r>
        <w:t>在用户密码输入时，要求输入密码，只有在输入密码正确的时候，才允许密码入库，否则，要求用户重新输入，页面显示为*号。</w:t>
      </w:r>
    </w:p>
    <w:p>
      <w:pPr>
        <w:ind w:firstLine="480"/>
      </w:pPr>
      <w:r>
        <w:t>在入库前还需要用单向加密算法，对密码进行加密，将密文存入数据库。在用户登录时，程序将数据库中密文取出，将用户输入密码进行单向加密后进行匹配，一致则进入系统，不一致则要求用户，重新输入。</w:t>
      </w:r>
    </w:p>
    <w:p>
      <w:pPr>
        <w:ind w:firstLine="480"/>
      </w:pPr>
      <w:bookmarkStart w:id="7" w:name="_Toc10643043"/>
      <w:r>
        <w:rPr>
          <w:rFonts w:hint="eastAsia"/>
        </w:rPr>
        <w:t>③</w:t>
      </w:r>
      <w:r>
        <w:t>数据库管理与维护说明</w:t>
      </w:r>
      <w:bookmarkEnd w:id="7"/>
    </w:p>
    <w:p>
      <w:pPr>
        <w:ind w:firstLine="480"/>
      </w:pPr>
      <w:r>
        <w:t>定期对数据库进行备份。</w:t>
      </w:r>
      <w:r>
        <w:rPr>
          <w:rFonts w:hint="eastAsia"/>
        </w:rPr>
        <w:t>一旦发生</w:t>
      </w:r>
      <w:r>
        <w:t>异常，则更新至最近正常状态。并通过查询日志，对数据库进行更新。</w:t>
      </w:r>
    </w:p>
    <w:p>
      <w:r>
        <w:t>由管理员定期对系统和请求日志信息进行维护，并对日志进行管理。</w:t>
      </w:r>
    </w:p>
    <w:p>
      <w:pPr>
        <w:pStyle w:val="4"/>
      </w:pPr>
      <w:r>
        <w:rPr>
          <w:rFonts w:hint="eastAsia"/>
        </w:rPr>
        <w:t>数据接口</w:t>
      </w:r>
    </w:p>
    <w:p>
      <w:pPr>
        <w:ind w:firstLine="480"/>
      </w:pPr>
      <w:r>
        <w:t>各层数据接口均有清晰定义，完全支持与企业其他信息化系统的集成。提供国家颁布的各种标准接口，可根据企业要求定制</w:t>
      </w:r>
      <w:r>
        <w:rPr>
          <w:rFonts w:hint="eastAsia"/>
        </w:rPr>
        <w:t>其他相关</w:t>
      </w:r>
      <w:r>
        <w:t>接口。支持采用XML技术和其他系统实时通讯，参照XML数据交换格式和标准，通过数据库级联进行数据交换，提供企业应用集成(EAI)组件。提供二次开发接口，便于企业进行二次开发及功能扩充。</w:t>
      </w:r>
    </w:p>
    <w:p>
      <w:pPr>
        <w:pStyle w:val="4"/>
      </w:pPr>
      <w:r>
        <w:rPr>
          <w:rFonts w:hint="eastAsia"/>
        </w:rPr>
        <w:t>信息安全</w:t>
      </w:r>
    </w:p>
    <w:p>
      <w:pPr>
        <w:ind w:firstLine="480"/>
      </w:pPr>
      <w:r>
        <w:t>文件加密：整个系统的文件支持三级加密策略：不加密；中度加密；深度</w:t>
      </w:r>
      <w:r>
        <w:rPr>
          <w:rFonts w:hint="eastAsia"/>
        </w:rPr>
        <w:t>加密</w:t>
      </w:r>
      <w:r>
        <w:t>方式由管理员直接配置，满足不同用户的需求；</w:t>
      </w:r>
    </w:p>
    <w:p>
      <w:pPr>
        <w:ind w:firstLine="480"/>
      </w:pPr>
      <w:r>
        <w:t>密码加密：用户的密码在存储时进行不可逆的加密，保证了密码不会外泄。即使是管理员也无法获取用户的密码信息；</w:t>
      </w:r>
    </w:p>
    <w:p>
      <w:pPr>
        <w:ind w:firstLine="480"/>
      </w:pPr>
      <w:r>
        <w:t>数据冗余式备份、数据加密存储，确保数据存储安全；</w:t>
      </w:r>
    </w:p>
    <w:p>
      <w:pPr>
        <w:ind w:firstLine="480"/>
      </w:pPr>
      <w:r>
        <w:t xml:space="preserve">IPS入侵防御系统、内外网分离构架、SSL加密传输技术等，确保数据传输安全； </w:t>
      </w:r>
    </w:p>
    <w:p>
      <w:pPr>
        <w:ind w:firstLine="480"/>
      </w:pPr>
      <w:r>
        <w:t>完善的安全管理制度，强大的多级权限管理功能，防止用户数据泄密，确保管理行为安全；</w:t>
      </w:r>
    </w:p>
    <w:p>
      <w:pPr>
        <w:ind w:firstLine="480"/>
      </w:pPr>
      <w:r>
        <w:t>内外网分离架构，各模块采用独立内外网架构，以及冗余分布式设计，无单点故障，为系统对系统灾难的抵抗能力和恢复能力提供了保证；</w:t>
      </w:r>
    </w:p>
    <w:p>
      <w:pPr>
        <w:ind w:firstLine="480"/>
      </w:pPr>
      <w:r>
        <w:t>支持HTTPS通道访问加密和防DOS攻击，记录访问请求日志，通过HTTPS保证传输信息加密安全性。同时可以防止蜘蛛爬虫的信息采样；</w:t>
      </w:r>
    </w:p>
    <w:p>
      <w:pPr>
        <w:ind w:firstLine="480"/>
      </w:pPr>
      <w:r>
        <w:t>完善的应用级别权限控制：基于个人、单位、部门、群组、角色、岗位、级别的多维度权限控制，系统可以针对以上属性进行灵活的权限设定，确保信息安全的可定义性和可执行性；</w:t>
      </w:r>
    </w:p>
    <w:p>
      <w:pPr>
        <w:ind w:firstLine="480"/>
      </w:pPr>
      <w:r>
        <w:t>账号密码的更换周期控制：密码尝试失败的账户冻结控制；密码强弱度的校验等措施，有效保证了用户密码的安全使用；</w:t>
      </w:r>
    </w:p>
    <w:p>
      <w:pPr>
        <w:ind w:firstLine="480"/>
      </w:pPr>
      <w:r>
        <w:t>定期对存储数据库进行自动备份。</w:t>
      </w:r>
    </w:p>
    <w:p>
      <w:pPr>
        <w:ind w:firstLine="480"/>
      </w:pPr>
      <w:r>
        <w:t>操作日志监控功能，用户操作行为日志全程记录。</w:t>
      </w:r>
    </w:p>
    <w:p>
      <w:pPr>
        <w:ind w:firstLine="480"/>
      </w:pPr>
      <w:r>
        <w:t>防SQL注入、页面篡改。</w:t>
      </w:r>
    </w:p>
    <w:p>
      <w:pPr>
        <w:pStyle w:val="4"/>
      </w:pPr>
      <w:r>
        <w:rPr>
          <w:rFonts w:hint="eastAsia"/>
        </w:rPr>
        <w:t>通信标准</w:t>
      </w:r>
    </w:p>
    <w:p>
      <w:pPr>
        <w:ind w:firstLine="480"/>
      </w:pPr>
      <w:r>
        <w:t>网络通信标准应从结构安全、访问控制、安全审计、边界完整性检查、入侵防范、恶意代码防范和网络设备防护等几方面进行考虑。</w:t>
      </w:r>
    </w:p>
    <w:p>
      <w:pPr>
        <w:ind w:firstLine="480"/>
      </w:pPr>
      <w:bookmarkStart w:id="8" w:name="_Toc10643034"/>
      <w:r>
        <w:rPr>
          <w:rFonts w:hint="eastAsia"/>
        </w:rPr>
        <w:t>（1）</w:t>
      </w:r>
      <w:r>
        <w:t>访问控制</w:t>
      </w:r>
      <w:bookmarkEnd w:id="8"/>
    </w:p>
    <w:p>
      <w:pPr>
        <w:ind w:firstLine="480"/>
      </w:pPr>
      <w:r>
        <w:t>按照统一要求，与信息内网之间使用防火墙等逻辑访问控制设备进行访问控制，对于其他网络使用信息安全网络隔离装置进行访问控制；应支持粒度至端口级的会话状态控制，支持对HTTP、TELNET等应用层协议命令级的控制，支持对最大流量数和网络连接数的控制；应采取技术手段防止地址欺骗；在用户和系统之间，设置至用户粒度的访问控制规则。</w:t>
      </w:r>
    </w:p>
    <w:p>
      <w:pPr>
        <w:ind w:firstLine="480"/>
      </w:pPr>
      <w:bookmarkStart w:id="9" w:name="_Toc10643035"/>
      <w:r>
        <w:rPr>
          <w:rFonts w:hint="eastAsia"/>
        </w:rPr>
        <w:t>（2）</w:t>
      </w:r>
      <w:r>
        <w:t>安全审计</w:t>
      </w:r>
      <w:bookmarkEnd w:id="9"/>
    </w:p>
    <w:p>
      <w:pPr>
        <w:ind w:firstLine="480"/>
      </w:pPr>
      <w:r>
        <w:t>应用IMS系统对网络中的网络设备的运行状态、网络流量、用户行为等进行记录。</w:t>
      </w:r>
    </w:p>
    <w:p>
      <w:pPr>
        <w:ind w:firstLine="480"/>
      </w:pPr>
      <w:bookmarkStart w:id="10" w:name="_Toc10643036"/>
      <w:r>
        <w:rPr>
          <w:rFonts w:hint="eastAsia"/>
        </w:rPr>
        <w:t>（3）</w:t>
      </w:r>
      <w:r>
        <w:t>边界完整性检查</w:t>
      </w:r>
      <w:bookmarkEnd w:id="10"/>
    </w:p>
    <w:p>
      <w:pPr>
        <w:ind w:firstLine="480"/>
      </w:pPr>
      <w:r>
        <w:t>访问安全生产监管系统平台的全部内网终端部署非法外连监测系统，对内网终端非法外连和外网终端私自接入内网的行为进行检测，并对其进行有效阻断。</w:t>
      </w:r>
    </w:p>
    <w:p>
      <w:pPr>
        <w:ind w:firstLine="480"/>
      </w:pPr>
      <w:bookmarkStart w:id="11" w:name="_Toc10643037"/>
      <w:r>
        <w:rPr>
          <w:rFonts w:hint="eastAsia"/>
        </w:rPr>
        <w:t>（4）</w:t>
      </w:r>
      <w:r>
        <w:t>入侵防范</w:t>
      </w:r>
      <w:bookmarkEnd w:id="11"/>
    </w:p>
    <w:p>
      <w:pPr>
        <w:ind w:firstLine="480"/>
      </w:pPr>
      <w:r>
        <w:t>通过网络入侵检测/网络入侵防护设备对端口扫描、暴力攻击、木马后门攻击、拒绝服务攻击、缓冲区溢出攻击等行为进行检测，在检测到攻击行为时进行记录和报警。</w:t>
      </w:r>
    </w:p>
    <w:p>
      <w:pPr>
        <w:ind w:firstLine="480"/>
      </w:pPr>
      <w:bookmarkStart w:id="12" w:name="_Toc10643038"/>
      <w:r>
        <w:rPr>
          <w:rFonts w:hint="eastAsia"/>
        </w:rPr>
        <w:t>（5）</w:t>
      </w:r>
      <w:r>
        <w:t>恶意代码防范</w:t>
      </w:r>
      <w:bookmarkEnd w:id="12"/>
    </w:p>
    <w:p>
      <w:pPr>
        <w:ind w:firstLine="480"/>
      </w:pPr>
      <w:r>
        <w:t>网络边界应用防病毒过滤网关对恶意代码进行过滤，及时更新恶意代码库和检测系统。</w:t>
      </w:r>
    </w:p>
    <w:p>
      <w:pPr>
        <w:ind w:firstLine="480"/>
      </w:pPr>
      <w:bookmarkStart w:id="13" w:name="_Toc10643039"/>
      <w:r>
        <w:rPr>
          <w:rFonts w:hint="eastAsia"/>
        </w:rPr>
        <w:t>（6）</w:t>
      </w:r>
      <w:r>
        <w:t>网络设备防护</w:t>
      </w:r>
      <w:bookmarkEnd w:id="13"/>
    </w:p>
    <w:p>
      <w:pPr>
        <w:ind w:firstLine="480"/>
      </w:pPr>
      <w:r>
        <w:t>对登录网络设备的用户进行身份鉴别，限制网络管理员登录地址；不同网络设备用户应使用不同的用户；对于核心网络设备应采用多因素身份鉴别技术进行身份鉴别，同时口令应满足一定复杂度要求并定期更换；系统应具备登录失败处理功能，在鉴别会话结束、登录连接超时后自动退出，限制非法登录尝试次数等方式；网络远程管理应采取必要措施防止鉴别信息在网络传输过程中被窃听；应实现设备特权用户的权限分离。</w:t>
      </w:r>
    </w:p>
    <w:p>
      <w:pPr>
        <w:pStyle w:val="4"/>
      </w:pPr>
      <w:r>
        <w:rPr>
          <w:rFonts w:hint="eastAsia"/>
        </w:rPr>
        <w:t>执行标准</w:t>
      </w:r>
    </w:p>
    <w:p>
      <w:pPr>
        <w:ind w:firstLine="482"/>
        <w:rPr>
          <w:b/>
          <w:bCs/>
        </w:rPr>
      </w:pPr>
      <w:r>
        <w:rPr>
          <w:rFonts w:hint="eastAsia"/>
          <w:b/>
          <w:bCs/>
        </w:rPr>
        <w:t>（1）</w:t>
      </w:r>
      <w:r>
        <w:rPr>
          <w:b/>
          <w:bCs/>
        </w:rPr>
        <w:t>软件标准</w:t>
      </w:r>
    </w:p>
    <w:p>
      <w:pPr>
        <w:ind w:firstLine="480"/>
      </w:pPr>
      <w:r>
        <w:t>《信息技术开放系统互连网络层安全协议》（GB/T 17963）</w:t>
      </w:r>
    </w:p>
    <w:p>
      <w:pPr>
        <w:ind w:firstLine="480"/>
      </w:pPr>
      <w:r>
        <w:t>《软件工程术语》（GB/T 11457-1995）</w:t>
      </w:r>
    </w:p>
    <w:p>
      <w:pPr>
        <w:ind w:firstLine="480"/>
      </w:pPr>
      <w:r>
        <w:t>《计算机软件可靠性和可维护性管理》（GB/T 14394-2008）</w:t>
      </w:r>
    </w:p>
    <w:p>
      <w:pPr>
        <w:ind w:firstLine="480"/>
      </w:pPr>
      <w:r>
        <w:t>《计算机信息系统安全等级保护网络技术要求》（GB/T 387-2002）</w:t>
      </w:r>
    </w:p>
    <w:p>
      <w:pPr>
        <w:ind w:firstLine="480"/>
      </w:pPr>
      <w:r>
        <w:t>《信息技术软件工程术语》（GB/T 11457-2006）</w:t>
      </w:r>
    </w:p>
    <w:p>
      <w:pPr>
        <w:ind w:firstLine="480"/>
      </w:pPr>
      <w:r>
        <w:t>《计算机软件开发规范》（GB 8566-88）</w:t>
      </w:r>
    </w:p>
    <w:p>
      <w:pPr>
        <w:ind w:firstLine="480"/>
      </w:pPr>
      <w:r>
        <w:t>《信息处理各种图的文件编辑符号和约定》（GB/T 1526-1989）</w:t>
      </w:r>
    </w:p>
    <w:p>
      <w:pPr>
        <w:ind w:firstLine="480"/>
      </w:pPr>
      <w:r>
        <w:t>《信息处理系统计算机系统配置图符号及约定》（GB/T 14085-1993）</w:t>
      </w:r>
    </w:p>
    <w:p>
      <w:pPr>
        <w:ind w:firstLine="480"/>
      </w:pPr>
      <w:r>
        <w:t>《信息技术软件维护》（GB/T 20157-2006）</w:t>
      </w:r>
    </w:p>
    <w:p>
      <w:pPr>
        <w:ind w:firstLine="480"/>
      </w:pPr>
      <w:r>
        <w:t>《信息安全技术-信息系统通用安全技术要求》（GB/T 20271-2006）</w:t>
      </w:r>
    </w:p>
    <w:p>
      <w:pPr>
        <w:ind w:firstLine="480"/>
      </w:pPr>
      <w:r>
        <w:t>《信息技术软件生存周期过程开发标准》（GB/T 8566-2007）</w:t>
      </w:r>
    </w:p>
    <w:p>
      <w:pPr>
        <w:ind w:firstLine="480"/>
      </w:pPr>
      <w:r>
        <w:t>《信息技术软件生存周期过程》（GB/T 8566-2001）</w:t>
      </w:r>
    </w:p>
    <w:p>
      <w:pPr>
        <w:ind w:firstLine="480"/>
      </w:pPr>
      <w:r>
        <w:t>《软件支持环境》（GB/T 15853-1995）</w:t>
      </w:r>
    </w:p>
    <w:p>
      <w:pPr>
        <w:ind w:firstLine="480"/>
      </w:pPr>
      <w:r>
        <w:t>《软件维护指南》（GB/T 14079-1993）</w:t>
      </w:r>
    </w:p>
    <w:p>
      <w:pPr>
        <w:ind w:firstLine="480"/>
      </w:pPr>
      <w:r>
        <w:t>《算机过程控制软件开发规程》（SJ/T 10367-1993(2009)计）</w:t>
      </w:r>
    </w:p>
    <w:p>
      <w:pPr>
        <w:ind w:firstLine="480"/>
      </w:pPr>
      <w:r>
        <w:t>《信息技术软件包质量要求和测试》（GB/T 17544-1998）</w:t>
      </w:r>
    </w:p>
    <w:p>
      <w:pPr>
        <w:ind w:firstLine="480"/>
      </w:pPr>
      <w:r>
        <w:t>《计算机软件测试规范》（GB/T 15532-2008）</w:t>
      </w:r>
    </w:p>
    <w:p>
      <w:pPr>
        <w:ind w:firstLine="480"/>
      </w:pPr>
      <w:r>
        <w:t>《计算机软件文档编制规范》（GB/T 8567-2006）</w:t>
      </w:r>
    </w:p>
    <w:p>
      <w:pPr>
        <w:ind w:firstLine="480"/>
      </w:pPr>
      <w:r>
        <w:t>《计算机软件产品开发文档编制指南》（GB/T 8567-1988）</w:t>
      </w:r>
    </w:p>
    <w:p>
      <w:pPr>
        <w:ind w:firstLine="480"/>
      </w:pPr>
      <w:r>
        <w:t>《计算机软件需求规格说明规范》（GB/T 9385-2008）</w:t>
      </w:r>
    </w:p>
    <w:p>
      <w:pPr>
        <w:ind w:firstLine="480"/>
      </w:pPr>
      <w:r>
        <w:t>《计算机软件配置管理计划规范》（GB/T 12505-1990）</w:t>
      </w:r>
    </w:p>
    <w:p>
      <w:pPr>
        <w:ind w:firstLine="480"/>
      </w:pPr>
      <w:r>
        <w:t>《软件工程产品质量》（GB/T 16260-2006）</w:t>
      </w:r>
    </w:p>
    <w:p>
      <w:pPr>
        <w:ind w:firstLine="480"/>
      </w:pPr>
      <w:r>
        <w:t>《计算机软件质量保证计划规范》（GB/T 12504-1990）</w:t>
      </w:r>
    </w:p>
    <w:p>
      <w:pPr>
        <w:ind w:firstLine="480"/>
      </w:pPr>
      <w:r>
        <w:t>《计算机软件可靠性和可维护性管理》（GB/T 14394-2008）</w:t>
      </w:r>
    </w:p>
    <w:p>
      <w:pPr>
        <w:ind w:firstLine="480"/>
      </w:pPr>
      <w:r>
        <w:t>《信息技术软件生存周期过程风险管理》（GB/T 20918-2007）</w:t>
      </w:r>
    </w:p>
    <w:p>
      <w:pPr>
        <w:ind w:firstLine="480"/>
      </w:pPr>
      <w:r>
        <w:t>《信息安全技术-信息系统通用安全技术要求》（GB/T 20271-2006）</w:t>
      </w:r>
    </w:p>
    <w:p>
      <w:pPr>
        <w:ind w:firstLine="482"/>
        <w:rPr>
          <w:b/>
          <w:bCs/>
        </w:rPr>
      </w:pPr>
      <w:r>
        <w:rPr>
          <w:rFonts w:hint="eastAsia"/>
          <w:b/>
          <w:bCs/>
        </w:rPr>
        <w:t>（2）</w:t>
      </w:r>
      <w:r>
        <w:rPr>
          <w:b/>
          <w:bCs/>
        </w:rPr>
        <w:t>国家法律法规及相关文件</w:t>
      </w:r>
    </w:p>
    <w:p>
      <w:pPr>
        <w:ind w:firstLine="480"/>
      </w:pPr>
      <w:r>
        <w:t>《中华人民共和国安全生产法》（2021年9月1日新施行）</w:t>
      </w:r>
    </w:p>
    <w:p>
      <w:pPr>
        <w:ind w:firstLine="480"/>
      </w:pPr>
      <w:r>
        <w:t>《危险化学品安全管理条例》（国务院令第591号）</w:t>
      </w:r>
    </w:p>
    <w:p>
      <w:pPr>
        <w:ind w:firstLine="480"/>
      </w:pPr>
      <w:r>
        <w:t>《危险化学品重大危险源监督管理暂行规定》（国家应急总局令第40号）</w:t>
      </w:r>
    </w:p>
    <w:p>
      <w:pPr>
        <w:ind w:firstLine="480"/>
      </w:pPr>
      <w:r>
        <w:t>《危险化学品输送管道安全管理规定》（国家应急总局令第43号）</w:t>
      </w:r>
    </w:p>
    <w:p>
      <w:pPr>
        <w:ind w:firstLine="480"/>
      </w:pPr>
      <w:r>
        <w:t>《国务院关于进一步加强企业安全生产工作的通知》（国发〔2010〕23号）</w:t>
      </w:r>
    </w:p>
    <w:p>
      <w:pPr>
        <w:ind w:firstLine="480"/>
      </w:pPr>
      <w:r>
        <w:t>《国家安全监管总局关于印发</w:t>
      </w:r>
      <w:r>
        <w:rPr>
          <w:rFonts w:hint="eastAsia"/>
        </w:rPr>
        <w:t>〈</w:t>
      </w:r>
      <w:r>
        <w:t>国家安全生产监管信息平台总体建设方案</w:t>
      </w:r>
      <w:r>
        <w:rPr>
          <w:rFonts w:hint="eastAsia"/>
        </w:rPr>
        <w:t>〉</w:t>
      </w:r>
      <w:r>
        <w:t>的通知》（应急总规划〔2015〕6号）</w:t>
      </w:r>
    </w:p>
    <w:p>
      <w:pPr>
        <w:ind w:firstLine="480"/>
      </w:pPr>
      <w:r>
        <w:t>《国家应急总局办公厅关于开展安全生产大数据应用试点工作的通知》（应急总厅规划函〔2015〕123号）</w:t>
      </w:r>
    </w:p>
    <w:p>
      <w:pPr>
        <w:ind w:firstLine="480"/>
      </w:pPr>
      <w:r>
        <w:rPr>
          <w:rFonts w:hint="eastAsia"/>
        </w:rPr>
        <w:t>《应急管理办公厅关于印发〈化工园区安全风险智能化管控平台建设指南（试行）〉和〈危险化学品企业安全风险智能化管控平台建设指南（试行）〉的通知》（应急厅〔2022〕5号）</w:t>
      </w:r>
    </w:p>
    <w:p>
      <w:pPr>
        <w:ind w:firstLine="482"/>
        <w:rPr>
          <w:b/>
          <w:bCs/>
        </w:rPr>
      </w:pPr>
      <w:r>
        <w:rPr>
          <w:rFonts w:hint="eastAsia"/>
          <w:b/>
          <w:bCs/>
        </w:rPr>
        <w:t>（3）</w:t>
      </w:r>
      <w:r>
        <w:rPr>
          <w:b/>
          <w:bCs/>
        </w:rPr>
        <w:t>安全生产领域相关规范</w:t>
      </w:r>
    </w:p>
    <w:p>
      <w:pPr>
        <w:ind w:firstLine="480"/>
      </w:pPr>
      <w:r>
        <w:t>《危险化学品重大危险源辨识》（GB 18218-2018）</w:t>
      </w:r>
    </w:p>
    <w:p>
      <w:pPr>
        <w:ind w:firstLine="480"/>
      </w:pPr>
      <w:r>
        <w:t>《企业安全生产网络化监测系统技术规范》（AQ 9003-2008）</w:t>
      </w:r>
    </w:p>
    <w:p>
      <w:pPr>
        <w:ind w:firstLine="480"/>
      </w:pPr>
      <w:r>
        <w:t>《生产经营单位基础数据规范（修订）》（应急总厅规划〔2014〕97号）</w:t>
      </w:r>
    </w:p>
    <w:p>
      <w:pPr>
        <w:ind w:firstLine="480"/>
      </w:pPr>
      <w:r>
        <w:t>《工贸企业安全生产标准化数据规范（修订）》（应急总厅规划〔2014〕97号）</w:t>
      </w:r>
    </w:p>
    <w:p>
      <w:pPr>
        <w:ind w:firstLine="480"/>
      </w:pPr>
      <w:r>
        <w:t>《全国安全生产监管监察企业代码编制规则（修订）》（应急总厅规划〔2014〕97号）</w:t>
      </w:r>
    </w:p>
    <w:p>
      <w:pPr>
        <w:pStyle w:val="3"/>
      </w:pPr>
      <w:r>
        <w:rPr>
          <w:rFonts w:hint="eastAsia"/>
        </w:rPr>
        <w:t>软件系统功能</w:t>
      </w:r>
    </w:p>
    <w:p>
      <w:pPr>
        <w:ind w:firstLine="480"/>
      </w:pPr>
      <w:r>
        <w:rPr>
          <w:rFonts w:hint="eastAsia"/>
        </w:rPr>
        <w:t>依据应急管理部印发的《化工园区安全风险智能化管控平台建设指南（试行）》中对系统功能的要求，同时结合药融园（一期）现阶段的情况设计一期软件系统功能。</w:t>
      </w:r>
    </w:p>
    <w:p>
      <w:pPr>
        <w:ind w:firstLine="480"/>
      </w:pPr>
      <w:r>
        <w:rPr>
          <w:rFonts w:hint="eastAsia"/>
        </w:rPr>
        <w:t>药融园安全监控平台（一期）软件系统功能及具体内容见下表1。</w:t>
      </w:r>
    </w:p>
    <w:p>
      <w:pPr>
        <w:pStyle w:val="27"/>
        <w:spacing w:before="217"/>
        <w:ind w:left="188" w:hanging="188"/>
      </w:pPr>
      <w:r>
        <w:rPr>
          <w:rFonts w:hint="eastAsia"/>
        </w:rPr>
        <w:t>药融园安全监控平台（一期）软件系统功能清单</w:t>
      </w:r>
    </w:p>
    <w:tbl>
      <w:tblPr>
        <w:tblStyle w:val="14"/>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0"/>
        <w:gridCol w:w="1659"/>
        <w:gridCol w:w="3420"/>
        <w:gridCol w:w="709"/>
        <w:gridCol w:w="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0" w:type="dxa"/>
            <w:vAlign w:val="center"/>
          </w:tcPr>
          <w:p>
            <w:pPr>
              <w:pStyle w:val="28"/>
              <w:spacing w:before="156"/>
              <w:rPr>
                <w:b/>
                <w:bCs/>
              </w:rPr>
            </w:pPr>
            <w:r>
              <w:rPr>
                <w:rFonts w:hint="eastAsia"/>
                <w:b/>
                <w:bCs/>
              </w:rPr>
              <w:t>一级菜单</w:t>
            </w:r>
          </w:p>
        </w:tc>
        <w:tc>
          <w:tcPr>
            <w:tcW w:w="1659" w:type="dxa"/>
            <w:vAlign w:val="center"/>
          </w:tcPr>
          <w:p>
            <w:pPr>
              <w:pStyle w:val="28"/>
              <w:spacing w:before="156"/>
              <w:rPr>
                <w:b/>
                <w:bCs/>
              </w:rPr>
            </w:pPr>
            <w:r>
              <w:rPr>
                <w:rFonts w:hint="eastAsia"/>
                <w:b/>
                <w:bCs/>
              </w:rPr>
              <w:t>二级菜单</w:t>
            </w:r>
          </w:p>
        </w:tc>
        <w:tc>
          <w:tcPr>
            <w:tcW w:w="3420" w:type="dxa"/>
            <w:vAlign w:val="center"/>
          </w:tcPr>
          <w:p>
            <w:pPr>
              <w:pStyle w:val="28"/>
              <w:spacing w:before="156"/>
              <w:rPr>
                <w:b/>
                <w:bCs/>
              </w:rPr>
            </w:pPr>
            <w:r>
              <w:rPr>
                <w:rFonts w:hint="eastAsia"/>
                <w:b/>
                <w:bCs/>
              </w:rPr>
              <w:t>具体内容</w:t>
            </w:r>
          </w:p>
        </w:tc>
        <w:tc>
          <w:tcPr>
            <w:tcW w:w="709" w:type="dxa"/>
            <w:vAlign w:val="center"/>
          </w:tcPr>
          <w:p>
            <w:pPr>
              <w:pStyle w:val="28"/>
              <w:spacing w:before="156"/>
              <w:rPr>
                <w:b/>
                <w:bCs/>
              </w:rPr>
            </w:pPr>
            <w:r>
              <w:rPr>
                <w:rFonts w:hint="eastAsia"/>
                <w:b/>
                <w:bCs/>
              </w:rPr>
              <w:t>数量</w:t>
            </w:r>
          </w:p>
        </w:tc>
        <w:tc>
          <w:tcPr>
            <w:tcW w:w="788" w:type="dxa"/>
            <w:vAlign w:val="center"/>
          </w:tcPr>
          <w:p>
            <w:pPr>
              <w:pStyle w:val="28"/>
              <w:spacing w:before="156"/>
              <w:rPr>
                <w:b/>
                <w:bCs/>
              </w:rPr>
            </w:pPr>
            <w:r>
              <w:rPr>
                <w:rFonts w:hint="eastAsia"/>
                <w:b/>
                <w:bCs/>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0" w:type="dxa"/>
            <w:vMerge w:val="restart"/>
            <w:vAlign w:val="center"/>
          </w:tcPr>
          <w:p>
            <w:pPr>
              <w:pStyle w:val="28"/>
              <w:spacing w:before="156"/>
            </w:pPr>
            <w:r>
              <w:rPr>
                <w:rFonts w:hint="eastAsia"/>
              </w:rPr>
              <w:t>安全基础管理</w:t>
            </w:r>
          </w:p>
        </w:tc>
        <w:tc>
          <w:tcPr>
            <w:tcW w:w="1659" w:type="dxa"/>
            <w:vAlign w:val="center"/>
          </w:tcPr>
          <w:p>
            <w:pPr>
              <w:pStyle w:val="28"/>
              <w:spacing w:before="156"/>
            </w:pPr>
            <w:r>
              <w:rPr>
                <w:rFonts w:hint="eastAsia"/>
              </w:rPr>
              <w:t>园区基础信息管理</w:t>
            </w:r>
          </w:p>
        </w:tc>
        <w:tc>
          <w:tcPr>
            <w:tcW w:w="3420" w:type="dxa"/>
            <w:vAlign w:val="center"/>
          </w:tcPr>
          <w:p>
            <w:pPr>
              <w:pStyle w:val="28"/>
              <w:spacing w:before="156"/>
            </w:pPr>
            <w:r>
              <w:rPr>
                <w:rFonts w:hint="eastAsia"/>
              </w:rPr>
              <w:t>园区规划、园区安全管理体系、"禁限控"目录、园区内化工企业基本情况以及“两重点一重大”、从业人员、值班值守、企业事故事件等信息。支持信息维护和快速查询，以及相关数据多维度统计分析和可视化展示。</w:t>
            </w:r>
          </w:p>
        </w:tc>
        <w:tc>
          <w:tcPr>
            <w:tcW w:w="709" w:type="dxa"/>
            <w:vAlign w:val="center"/>
          </w:tcPr>
          <w:p>
            <w:pPr>
              <w:pStyle w:val="28"/>
              <w:spacing w:before="156"/>
            </w:pPr>
            <w:r>
              <w:rPr>
                <w:rFonts w:hint="eastAsia"/>
              </w:rPr>
              <w:t>1</w:t>
            </w:r>
          </w:p>
        </w:tc>
        <w:tc>
          <w:tcPr>
            <w:tcW w:w="788" w:type="dxa"/>
            <w:vAlign w:val="center"/>
          </w:tcPr>
          <w:p>
            <w:pPr>
              <w:pStyle w:val="28"/>
              <w:spacing w:before="156"/>
            </w:pPr>
            <w:r>
              <w:rPr>
                <w:rFonts w:hint="eastAsi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0" w:type="dxa"/>
            <w:vMerge w:val="continue"/>
            <w:vAlign w:val="center"/>
          </w:tcPr>
          <w:p>
            <w:pPr>
              <w:pStyle w:val="28"/>
              <w:spacing w:before="156"/>
            </w:pPr>
          </w:p>
        </w:tc>
        <w:tc>
          <w:tcPr>
            <w:tcW w:w="1659" w:type="dxa"/>
            <w:vAlign w:val="center"/>
          </w:tcPr>
          <w:p>
            <w:pPr>
              <w:pStyle w:val="28"/>
              <w:spacing w:before="156"/>
            </w:pPr>
            <w:r>
              <w:rPr>
                <w:rFonts w:hint="eastAsia"/>
              </w:rPr>
              <w:t>装置开停车和大检修管理</w:t>
            </w:r>
          </w:p>
        </w:tc>
        <w:tc>
          <w:tcPr>
            <w:tcW w:w="3420" w:type="dxa"/>
            <w:vAlign w:val="center"/>
          </w:tcPr>
          <w:p>
            <w:pPr>
              <w:pStyle w:val="28"/>
              <w:spacing w:before="156"/>
            </w:pPr>
            <w:r>
              <w:rPr>
                <w:rFonts w:hint="eastAsia"/>
              </w:rPr>
              <w:t>重大危险源（如：罐区）开停车和大检修线上备案，备案内容包含但不限于装置开停车方案和时间、大检修方案和时间等。支持备案信息维护、查询，以及开停车、大检修数据等多维度统计分析和可视化展示。</w:t>
            </w:r>
          </w:p>
        </w:tc>
        <w:tc>
          <w:tcPr>
            <w:tcW w:w="709" w:type="dxa"/>
            <w:vAlign w:val="center"/>
          </w:tcPr>
          <w:p>
            <w:pPr>
              <w:pStyle w:val="28"/>
              <w:spacing w:before="156"/>
            </w:pPr>
            <w:r>
              <w:rPr>
                <w:rFonts w:hint="eastAsia"/>
              </w:rPr>
              <w:t>1</w:t>
            </w:r>
          </w:p>
        </w:tc>
        <w:tc>
          <w:tcPr>
            <w:tcW w:w="788" w:type="dxa"/>
            <w:vAlign w:val="center"/>
          </w:tcPr>
          <w:p>
            <w:pPr>
              <w:pStyle w:val="28"/>
              <w:spacing w:before="156"/>
            </w:pPr>
            <w:r>
              <w:rPr>
                <w:rFonts w:hint="eastAsi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0" w:type="dxa"/>
            <w:vMerge w:val="restart"/>
            <w:vAlign w:val="center"/>
          </w:tcPr>
          <w:p>
            <w:pPr>
              <w:pStyle w:val="28"/>
              <w:spacing w:before="156"/>
            </w:pPr>
            <w:r>
              <w:rPr>
                <w:rFonts w:hint="eastAsia"/>
              </w:rPr>
              <w:t>重大危险源安全管理</w:t>
            </w:r>
          </w:p>
        </w:tc>
        <w:tc>
          <w:tcPr>
            <w:tcW w:w="1659" w:type="dxa"/>
            <w:vAlign w:val="center"/>
          </w:tcPr>
          <w:p>
            <w:pPr>
              <w:pStyle w:val="28"/>
              <w:spacing w:before="156"/>
            </w:pPr>
            <w:r>
              <w:rPr>
                <w:rFonts w:hint="eastAsia"/>
              </w:rPr>
              <w:t>重大危险源包保责任落实监督</w:t>
            </w:r>
          </w:p>
        </w:tc>
        <w:tc>
          <w:tcPr>
            <w:tcW w:w="3420" w:type="dxa"/>
            <w:vAlign w:val="center"/>
          </w:tcPr>
          <w:p>
            <w:pPr>
              <w:pStyle w:val="28"/>
              <w:spacing w:before="156"/>
            </w:pPr>
            <w:r>
              <w:rPr>
                <w:rFonts w:hint="eastAsia"/>
              </w:rPr>
              <w:t>实现重大危险源安全包保履职记录电子化、条目化，管理企业每一处重大危险源包保责任落实情况，支持重大危险源主要负责人、技术负责人和操作负责人信息维护，三级包保责任人安全包保履职情况记录检查，以及信息查询、多维度统计分析功能。</w:t>
            </w:r>
          </w:p>
        </w:tc>
        <w:tc>
          <w:tcPr>
            <w:tcW w:w="709" w:type="dxa"/>
            <w:vAlign w:val="center"/>
          </w:tcPr>
          <w:p>
            <w:pPr>
              <w:pStyle w:val="28"/>
              <w:spacing w:before="156"/>
            </w:pPr>
            <w:r>
              <w:rPr>
                <w:rFonts w:hint="eastAsia"/>
              </w:rPr>
              <w:t>1</w:t>
            </w:r>
          </w:p>
        </w:tc>
        <w:tc>
          <w:tcPr>
            <w:tcW w:w="788" w:type="dxa"/>
            <w:vAlign w:val="center"/>
          </w:tcPr>
          <w:p>
            <w:pPr>
              <w:pStyle w:val="28"/>
              <w:spacing w:before="156"/>
            </w:pPr>
            <w:r>
              <w:rPr>
                <w:rFonts w:hint="eastAsi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0" w:type="dxa"/>
            <w:vMerge w:val="continue"/>
            <w:vAlign w:val="center"/>
          </w:tcPr>
          <w:p>
            <w:pPr>
              <w:pStyle w:val="28"/>
              <w:spacing w:before="156"/>
            </w:pPr>
          </w:p>
        </w:tc>
        <w:tc>
          <w:tcPr>
            <w:tcW w:w="1659" w:type="dxa"/>
            <w:vAlign w:val="center"/>
          </w:tcPr>
          <w:p>
            <w:pPr>
              <w:pStyle w:val="28"/>
              <w:spacing w:before="156"/>
            </w:pPr>
            <w:r>
              <w:rPr>
                <w:rFonts w:hint="eastAsia"/>
              </w:rPr>
              <w:t>在线监测预警</w:t>
            </w:r>
          </w:p>
        </w:tc>
        <w:tc>
          <w:tcPr>
            <w:tcW w:w="3420" w:type="dxa"/>
            <w:vAlign w:val="center"/>
          </w:tcPr>
          <w:p>
            <w:pPr>
              <w:pStyle w:val="28"/>
              <w:spacing w:before="156"/>
            </w:pPr>
            <w:r>
              <w:rPr>
                <w:rFonts w:hint="eastAsia"/>
              </w:rPr>
              <w:t>（1）实时监测与抽查：</w:t>
            </w:r>
          </w:p>
          <w:p>
            <w:pPr>
              <w:pStyle w:val="28"/>
              <w:spacing w:before="156"/>
            </w:pPr>
            <w:r>
              <w:rPr>
                <w:rFonts w:hint="eastAsia"/>
              </w:rPr>
              <w:t>汇聚企业重大危险源监测监控数据，实现对重大危险源安全在线抽查，支持基于GIS地图的重大危险源浏览，查看储罐、装置、危险化学品库等处的液位、温度、压力和可燃有毒气体浓度的实时监测数据、报警数据，查询历史数据和对比分析。</w:t>
            </w:r>
          </w:p>
          <w:p>
            <w:pPr>
              <w:pStyle w:val="28"/>
              <w:spacing w:before="156"/>
            </w:pPr>
            <w:r>
              <w:rPr>
                <w:rFonts w:hint="eastAsia"/>
              </w:rPr>
              <w:t>（2）视频监控数据智能分析：</w:t>
            </w:r>
          </w:p>
          <w:p>
            <w:pPr>
              <w:pStyle w:val="28"/>
              <w:spacing w:before="156"/>
            </w:pPr>
            <w:r>
              <w:rPr>
                <w:rFonts w:hint="eastAsia"/>
              </w:rPr>
              <w:t>汇聚视频监控画面信息，实现硝酸铵仓库、中控室、重大危险源现场等重点部位的监控视频智能分析，支持实现火灾、烟雾、人员违章（中控室脱岗）等进行全方位的识别和预警。</w:t>
            </w:r>
          </w:p>
        </w:tc>
        <w:tc>
          <w:tcPr>
            <w:tcW w:w="709" w:type="dxa"/>
            <w:vAlign w:val="center"/>
          </w:tcPr>
          <w:p>
            <w:pPr>
              <w:pStyle w:val="28"/>
              <w:spacing w:before="156"/>
            </w:pPr>
            <w:r>
              <w:rPr>
                <w:rFonts w:hint="eastAsia"/>
              </w:rPr>
              <w:t>1</w:t>
            </w:r>
          </w:p>
        </w:tc>
        <w:tc>
          <w:tcPr>
            <w:tcW w:w="788" w:type="dxa"/>
            <w:vAlign w:val="center"/>
          </w:tcPr>
          <w:p>
            <w:pPr>
              <w:pStyle w:val="28"/>
              <w:spacing w:before="156"/>
            </w:pPr>
            <w:r>
              <w:rPr>
                <w:rFonts w:hint="eastAsi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0" w:type="dxa"/>
            <w:vAlign w:val="center"/>
          </w:tcPr>
          <w:p>
            <w:pPr>
              <w:pStyle w:val="28"/>
              <w:spacing w:before="156"/>
            </w:pPr>
            <w:r>
              <w:rPr>
                <w:rFonts w:hint="eastAsia"/>
              </w:rPr>
              <w:t>双重预防机制</w:t>
            </w:r>
          </w:p>
        </w:tc>
        <w:tc>
          <w:tcPr>
            <w:tcW w:w="1659" w:type="dxa"/>
            <w:vAlign w:val="center"/>
          </w:tcPr>
          <w:p>
            <w:pPr>
              <w:pStyle w:val="28"/>
              <w:spacing w:before="156"/>
            </w:pPr>
            <w:r>
              <w:rPr>
                <w:rFonts w:hint="eastAsia"/>
              </w:rPr>
              <w:t>隐患整改情况督办提醒</w:t>
            </w:r>
          </w:p>
        </w:tc>
        <w:tc>
          <w:tcPr>
            <w:tcW w:w="3420" w:type="dxa"/>
            <w:vAlign w:val="center"/>
          </w:tcPr>
          <w:p>
            <w:pPr>
              <w:pStyle w:val="28"/>
              <w:spacing w:before="156"/>
            </w:pPr>
            <w:r>
              <w:rPr>
                <w:rFonts w:hint="eastAsia"/>
              </w:rPr>
              <w:t>实现对重大隐患线上督办、整改临期提醒及一般隐患超期警示功能，支持线上下发督办通知书、通过短信向有关人员发送提醒警示信息等功能，确保实现隐患闭环处置，以及不同行业、不同关键装置隐患多维度统计分析和可视化展示。</w:t>
            </w:r>
          </w:p>
        </w:tc>
        <w:tc>
          <w:tcPr>
            <w:tcW w:w="709" w:type="dxa"/>
            <w:vAlign w:val="center"/>
          </w:tcPr>
          <w:p>
            <w:pPr>
              <w:pStyle w:val="28"/>
              <w:spacing w:before="156"/>
            </w:pPr>
            <w:r>
              <w:rPr>
                <w:rFonts w:hint="eastAsia"/>
              </w:rPr>
              <w:t>1</w:t>
            </w:r>
          </w:p>
        </w:tc>
        <w:tc>
          <w:tcPr>
            <w:tcW w:w="788" w:type="dxa"/>
            <w:vAlign w:val="center"/>
          </w:tcPr>
          <w:p>
            <w:pPr>
              <w:pStyle w:val="28"/>
              <w:spacing w:before="156"/>
            </w:pPr>
            <w:r>
              <w:rPr>
                <w:rFonts w:hint="eastAsi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0" w:type="dxa"/>
            <w:vMerge w:val="restart"/>
            <w:vAlign w:val="center"/>
          </w:tcPr>
          <w:p>
            <w:pPr>
              <w:pStyle w:val="28"/>
              <w:spacing w:before="156"/>
            </w:pPr>
            <w:r>
              <w:rPr>
                <w:rFonts w:hint="eastAsia"/>
              </w:rPr>
              <w:t>封闭化管理</w:t>
            </w:r>
          </w:p>
        </w:tc>
        <w:tc>
          <w:tcPr>
            <w:tcW w:w="1659" w:type="dxa"/>
            <w:vAlign w:val="center"/>
          </w:tcPr>
          <w:p>
            <w:pPr>
              <w:pStyle w:val="28"/>
              <w:spacing w:before="156"/>
            </w:pPr>
            <w:r>
              <w:rPr>
                <w:rFonts w:hint="eastAsia"/>
              </w:rPr>
              <w:t>门禁/卡口管理</w:t>
            </w:r>
          </w:p>
        </w:tc>
        <w:tc>
          <w:tcPr>
            <w:tcW w:w="3420" w:type="dxa"/>
            <w:vAlign w:val="center"/>
          </w:tcPr>
          <w:p>
            <w:pPr>
              <w:pStyle w:val="28"/>
              <w:spacing w:before="156"/>
            </w:pPr>
            <w:r>
              <w:rPr>
                <w:rFonts w:hint="eastAsia"/>
              </w:rPr>
              <w:t>根据园区实际情况分类设置综合、专用、普通、应急门禁/卡口，部署门禁/卡口管理系统，实现对人、车、物进出园管控，支持门禁/卡口视频监控、人脸和车牌智能识别、自动放行、车道控制等。</w:t>
            </w:r>
          </w:p>
        </w:tc>
        <w:tc>
          <w:tcPr>
            <w:tcW w:w="709" w:type="dxa"/>
            <w:vAlign w:val="center"/>
          </w:tcPr>
          <w:p>
            <w:pPr>
              <w:pStyle w:val="28"/>
              <w:spacing w:before="156"/>
            </w:pPr>
            <w:r>
              <w:rPr>
                <w:rFonts w:hint="eastAsia"/>
              </w:rPr>
              <w:t>1</w:t>
            </w:r>
          </w:p>
        </w:tc>
        <w:tc>
          <w:tcPr>
            <w:tcW w:w="788" w:type="dxa"/>
            <w:vAlign w:val="center"/>
          </w:tcPr>
          <w:p>
            <w:pPr>
              <w:pStyle w:val="28"/>
              <w:spacing w:before="156"/>
            </w:pPr>
            <w:r>
              <w:rPr>
                <w:rFonts w:hint="eastAsi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0" w:type="dxa"/>
            <w:vMerge w:val="continue"/>
            <w:vAlign w:val="center"/>
          </w:tcPr>
          <w:p>
            <w:pPr>
              <w:pStyle w:val="28"/>
              <w:spacing w:before="156"/>
            </w:pPr>
          </w:p>
        </w:tc>
        <w:tc>
          <w:tcPr>
            <w:tcW w:w="1659" w:type="dxa"/>
            <w:vAlign w:val="center"/>
          </w:tcPr>
          <w:p>
            <w:pPr>
              <w:pStyle w:val="28"/>
              <w:spacing w:before="156"/>
            </w:pPr>
            <w:r>
              <w:rPr>
                <w:rFonts w:hint="eastAsia"/>
              </w:rPr>
              <w:t>出入园管理</w:t>
            </w:r>
          </w:p>
        </w:tc>
        <w:tc>
          <w:tcPr>
            <w:tcW w:w="3420" w:type="dxa"/>
            <w:vAlign w:val="center"/>
          </w:tcPr>
          <w:p>
            <w:pPr>
              <w:pStyle w:val="28"/>
              <w:spacing w:before="156"/>
            </w:pPr>
            <w:r>
              <w:rPr>
                <w:rFonts w:hint="eastAsia"/>
              </w:rPr>
              <w:t>支持人员和车辆出入园申请、审核、长期/临时授权，支持危险化学品运输车辆预约、审核、授权，支持分区授权和黑名单管理，支持人流、车流统计等。</w:t>
            </w:r>
          </w:p>
        </w:tc>
        <w:tc>
          <w:tcPr>
            <w:tcW w:w="709" w:type="dxa"/>
            <w:vAlign w:val="center"/>
          </w:tcPr>
          <w:p>
            <w:pPr>
              <w:pStyle w:val="28"/>
              <w:spacing w:before="156"/>
            </w:pPr>
            <w:r>
              <w:rPr>
                <w:rFonts w:hint="eastAsia"/>
              </w:rPr>
              <w:t>1</w:t>
            </w:r>
          </w:p>
        </w:tc>
        <w:tc>
          <w:tcPr>
            <w:tcW w:w="788" w:type="dxa"/>
            <w:vAlign w:val="center"/>
          </w:tcPr>
          <w:p>
            <w:pPr>
              <w:pStyle w:val="28"/>
              <w:spacing w:before="156"/>
            </w:pPr>
            <w:r>
              <w:rPr>
                <w:rFonts w:hint="eastAsi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0" w:type="dxa"/>
            <w:vMerge w:val="restart"/>
            <w:vAlign w:val="center"/>
          </w:tcPr>
          <w:p>
            <w:pPr>
              <w:pStyle w:val="28"/>
              <w:spacing w:before="156"/>
            </w:pPr>
            <w:r>
              <w:rPr>
                <w:rFonts w:hint="eastAsia"/>
              </w:rPr>
              <w:t>敏捷应急</w:t>
            </w:r>
          </w:p>
        </w:tc>
        <w:tc>
          <w:tcPr>
            <w:tcW w:w="1659" w:type="dxa"/>
            <w:vAlign w:val="center"/>
          </w:tcPr>
          <w:p>
            <w:pPr>
              <w:pStyle w:val="28"/>
            </w:pPr>
            <w:r>
              <w:rPr>
                <w:rFonts w:hint="eastAsia"/>
              </w:rPr>
              <w:t>应急预案管理</w:t>
            </w:r>
          </w:p>
        </w:tc>
        <w:tc>
          <w:tcPr>
            <w:tcW w:w="3420" w:type="dxa"/>
            <w:vAlign w:val="center"/>
          </w:tcPr>
          <w:p>
            <w:pPr>
              <w:pStyle w:val="28"/>
              <w:spacing w:before="156"/>
            </w:pPr>
            <w:r>
              <w:rPr>
                <w:rFonts w:hint="eastAsia"/>
              </w:rPr>
              <w:t>实现企业应急预案的备案、维护等功能，支持应急预案查询、检索，多维度统计分析。实现园区应急预案的录入、评审、公布等流程管理，支持上级部门应急预案的录入查询。</w:t>
            </w:r>
          </w:p>
        </w:tc>
        <w:tc>
          <w:tcPr>
            <w:tcW w:w="709" w:type="dxa"/>
            <w:vAlign w:val="center"/>
          </w:tcPr>
          <w:p>
            <w:pPr>
              <w:pStyle w:val="28"/>
              <w:spacing w:before="156"/>
            </w:pPr>
            <w:r>
              <w:rPr>
                <w:rFonts w:hint="eastAsia"/>
              </w:rPr>
              <w:t>1</w:t>
            </w:r>
          </w:p>
        </w:tc>
        <w:tc>
          <w:tcPr>
            <w:tcW w:w="788" w:type="dxa"/>
            <w:vAlign w:val="center"/>
          </w:tcPr>
          <w:p>
            <w:pPr>
              <w:pStyle w:val="28"/>
              <w:spacing w:before="156"/>
            </w:pPr>
            <w:r>
              <w:rPr>
                <w:rFonts w:hint="eastAsi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0" w:type="dxa"/>
            <w:vMerge w:val="continue"/>
            <w:vAlign w:val="center"/>
          </w:tcPr>
          <w:p>
            <w:pPr>
              <w:pStyle w:val="28"/>
              <w:spacing w:before="156"/>
            </w:pPr>
          </w:p>
        </w:tc>
        <w:tc>
          <w:tcPr>
            <w:tcW w:w="1659" w:type="dxa"/>
            <w:vAlign w:val="center"/>
          </w:tcPr>
          <w:p>
            <w:pPr>
              <w:pStyle w:val="28"/>
              <w:spacing w:before="156"/>
            </w:pPr>
            <w:r>
              <w:rPr>
                <w:rFonts w:hint="eastAsia"/>
              </w:rPr>
              <w:t>应急资源管理</w:t>
            </w:r>
          </w:p>
        </w:tc>
        <w:tc>
          <w:tcPr>
            <w:tcW w:w="3420" w:type="dxa"/>
            <w:vAlign w:val="center"/>
          </w:tcPr>
          <w:p>
            <w:pPr>
              <w:pStyle w:val="28"/>
              <w:spacing w:before="156"/>
            </w:pPr>
            <w:r>
              <w:rPr>
                <w:rFonts w:hint="eastAsia"/>
              </w:rPr>
              <w:t>汇聚应急救援专家、队伍和物资数据，实现园区内应急资源的统一管理，支持应急资源信息的维护和快速查询，包括专家动态评估管理，队伍状态评估管理，物资有效性、完备性和可用性评估管理，以及应急物资按企业、按类别的统计分析和可视化展示。</w:t>
            </w:r>
          </w:p>
        </w:tc>
        <w:tc>
          <w:tcPr>
            <w:tcW w:w="709" w:type="dxa"/>
            <w:vAlign w:val="center"/>
          </w:tcPr>
          <w:p>
            <w:pPr>
              <w:pStyle w:val="28"/>
              <w:spacing w:before="156"/>
            </w:pPr>
            <w:r>
              <w:rPr>
                <w:rFonts w:hint="eastAsia"/>
              </w:rPr>
              <w:t>1</w:t>
            </w:r>
          </w:p>
        </w:tc>
        <w:tc>
          <w:tcPr>
            <w:tcW w:w="788" w:type="dxa"/>
            <w:vAlign w:val="center"/>
          </w:tcPr>
          <w:p>
            <w:pPr>
              <w:pStyle w:val="28"/>
              <w:spacing w:before="156"/>
            </w:pPr>
            <w:r>
              <w:rPr>
                <w:rFonts w:hint="eastAsi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0" w:type="dxa"/>
            <w:vMerge w:val="continue"/>
            <w:vAlign w:val="center"/>
          </w:tcPr>
          <w:p>
            <w:pPr>
              <w:pStyle w:val="28"/>
              <w:spacing w:before="156"/>
            </w:pPr>
          </w:p>
        </w:tc>
        <w:tc>
          <w:tcPr>
            <w:tcW w:w="1659" w:type="dxa"/>
            <w:vAlign w:val="center"/>
          </w:tcPr>
          <w:p>
            <w:pPr>
              <w:pStyle w:val="28"/>
              <w:spacing w:before="156"/>
            </w:pPr>
            <w:r>
              <w:rPr>
                <w:rFonts w:hint="eastAsia"/>
              </w:rPr>
              <w:t>应急指挥调度</w:t>
            </w:r>
          </w:p>
        </w:tc>
        <w:tc>
          <w:tcPr>
            <w:tcW w:w="3420" w:type="dxa"/>
            <w:vAlign w:val="center"/>
          </w:tcPr>
          <w:p>
            <w:pPr>
              <w:pStyle w:val="28"/>
              <w:spacing w:before="156"/>
            </w:pPr>
            <w:r>
              <w:rPr>
                <w:rFonts w:hint="eastAsia"/>
              </w:rPr>
              <w:t>实现日常状态下的值班管理，应急状态下的接处警、上报续报、应急启动、资源调度、处置部署、应急终止等。</w:t>
            </w:r>
          </w:p>
        </w:tc>
        <w:tc>
          <w:tcPr>
            <w:tcW w:w="709" w:type="dxa"/>
            <w:vAlign w:val="center"/>
          </w:tcPr>
          <w:p>
            <w:pPr>
              <w:pStyle w:val="28"/>
              <w:spacing w:before="156"/>
            </w:pPr>
            <w:r>
              <w:rPr>
                <w:rFonts w:hint="eastAsia"/>
              </w:rPr>
              <w:t>1</w:t>
            </w:r>
          </w:p>
        </w:tc>
        <w:tc>
          <w:tcPr>
            <w:tcW w:w="788" w:type="dxa"/>
            <w:vAlign w:val="center"/>
          </w:tcPr>
          <w:p>
            <w:pPr>
              <w:pStyle w:val="28"/>
              <w:spacing w:before="156"/>
            </w:pPr>
            <w:r>
              <w:rPr>
                <w:rFonts w:hint="eastAsia"/>
              </w:rPr>
              <w:t>套</w:t>
            </w:r>
          </w:p>
        </w:tc>
      </w:tr>
    </w:tbl>
    <w:p>
      <w:pPr>
        <w:pStyle w:val="4"/>
      </w:pPr>
      <w:r>
        <w:rPr>
          <w:rFonts w:hint="eastAsia"/>
        </w:rPr>
        <w:t>安全基础管理</w:t>
      </w:r>
    </w:p>
    <w:p>
      <w:pPr>
        <w:pStyle w:val="5"/>
      </w:pPr>
      <w:r>
        <w:rPr>
          <w:rFonts w:hint="eastAsia"/>
        </w:rPr>
        <w:t>园区基础信息管理</w:t>
      </w:r>
    </w:p>
    <w:p>
      <w:pPr>
        <w:ind w:firstLine="640" w:firstLineChars="200"/>
      </w:pPr>
      <w:r>
        <w:rPr>
          <w:rFonts w:hint="eastAsia"/>
        </w:rPr>
        <w:t>园区规划、园区安全管理体系、"禁限控"目录、园区内化工企业基本情况以及“两重点一重大”、从业人员、值班值守、企业事故事件等信息。支持信息维护和快速查询，以及相关数据多维度统计分析和可视化展示。</w:t>
      </w:r>
    </w:p>
    <w:p>
      <w:r>
        <w:drawing>
          <wp:inline distT="0" distB="0" distL="0" distR="0">
            <wp:extent cx="5274310" cy="1908175"/>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5"/>
                    <a:stretch>
                      <a:fillRect/>
                    </a:stretch>
                  </pic:blipFill>
                  <pic:spPr>
                    <a:xfrm>
                      <a:off x="0" y="0"/>
                      <a:ext cx="5274310" cy="1908706"/>
                    </a:xfrm>
                    <a:prstGeom prst="rect">
                      <a:avLst/>
                    </a:prstGeom>
                  </pic:spPr>
                </pic:pic>
              </a:graphicData>
            </a:graphic>
          </wp:inline>
        </w:drawing>
      </w:r>
    </w:p>
    <w:p>
      <w:pPr>
        <w:pStyle w:val="5"/>
      </w:pPr>
      <w:r>
        <w:rPr>
          <w:rFonts w:hint="eastAsia"/>
        </w:rPr>
        <w:t>装置开停车和大检修管理</w:t>
      </w:r>
    </w:p>
    <w:p>
      <w:pPr>
        <w:ind w:firstLine="640" w:firstLineChars="200"/>
      </w:pPr>
      <w:r>
        <w:rPr>
          <w:rFonts w:hint="eastAsia"/>
        </w:rPr>
        <w:t>重大危险源（如：罐区）开停车和大检修线上备案，备案内容包含但不限于装置开停车方案和时间、大检修方案和时间等。支持备案信息维护、查询，以及开停车、大检修数据等多维度统计分析和可视化展示。</w:t>
      </w:r>
    </w:p>
    <w:p>
      <w:pPr>
        <w:pStyle w:val="4"/>
      </w:pPr>
      <w:r>
        <w:rPr>
          <w:rFonts w:hint="eastAsia"/>
        </w:rPr>
        <w:t>重大危险源安全管理</w:t>
      </w:r>
    </w:p>
    <w:p>
      <w:pPr>
        <w:pStyle w:val="5"/>
      </w:pPr>
      <w:r>
        <w:rPr>
          <w:rFonts w:hint="eastAsia"/>
        </w:rPr>
        <w:t>重大危险源包保责任落实监督</w:t>
      </w:r>
    </w:p>
    <w:p>
      <w:pPr>
        <w:ind w:firstLine="640" w:firstLineChars="200"/>
      </w:pPr>
      <w:r>
        <w:rPr>
          <w:rFonts w:hint="eastAsia"/>
        </w:rPr>
        <w:t>实现重大危险源安全包保履职记录电子化、条目化，管理企业每一处重大危险源包保责任落实情况，支持重大危险源主要负责人、技术负责人和操作负责人信息维护，三级包保责任人安全包保履职情况记录检查，以及信息查询、多维度统计分析功能。</w:t>
      </w:r>
    </w:p>
    <w:p>
      <w:pPr>
        <w:ind w:firstLine="640" w:firstLineChars="200"/>
      </w:pPr>
      <w:r>
        <w:rPr>
          <w:rFonts w:hint="eastAsia"/>
        </w:rPr>
        <w:t>（1）重点人员管理</w:t>
      </w:r>
    </w:p>
    <w:p>
      <w:pPr>
        <w:ind w:firstLine="640" w:firstLineChars="200"/>
      </w:pPr>
      <w:r>
        <w:rPr>
          <w:rFonts w:hint="eastAsia"/>
        </w:rPr>
        <w:t>重大危险源主要负责人、技术负责人和操作负责人信息，检查三级包保责任人安全包保履职情况信息管理。</w:t>
      </w:r>
    </w:p>
    <w:p>
      <w:pPr>
        <w:ind w:firstLine="640" w:firstLineChars="200"/>
      </w:pPr>
      <w:r>
        <w:rPr>
          <w:rFonts w:hint="eastAsia"/>
        </w:rPr>
        <w:t>（2）安全包保责任管理</w:t>
      </w:r>
    </w:p>
    <w:p>
      <w:pPr>
        <w:ind w:firstLine="640" w:firstLineChars="200"/>
      </w:pPr>
      <w:r>
        <w:rPr>
          <w:rFonts w:hint="eastAsia"/>
        </w:rPr>
        <w:t>实现重大危险源安全包保履职记录电子化、条目化，管理企业每一处重大危险源包保责任落实情况以及信息查询、多维度统计分析功能。</w:t>
      </w:r>
    </w:p>
    <w:p>
      <w:pPr>
        <w:pStyle w:val="5"/>
      </w:pPr>
      <w:r>
        <w:rPr>
          <w:rFonts w:hint="eastAsia"/>
        </w:rPr>
        <w:t>在线监测预警</w:t>
      </w:r>
    </w:p>
    <w:p>
      <w:pPr>
        <w:ind w:firstLine="640" w:firstLineChars="200"/>
      </w:pPr>
      <w:r>
        <w:rPr>
          <w:rFonts w:hint="eastAsia"/>
        </w:rPr>
        <w:t>（1）监测监控设备</w:t>
      </w:r>
    </w:p>
    <w:p>
      <w:pPr>
        <w:ind w:firstLine="640" w:firstLineChars="200"/>
      </w:pPr>
      <w:r>
        <w:rPr>
          <w:rFonts w:hint="eastAsia"/>
        </w:rPr>
        <w:t>实现对企业的监测监控设备基本信息的登记更新维护，并可实时查看数据，对各企业的设备状态可实时查看，同时展现各企业的设备数量、分类统计情况。</w:t>
      </w:r>
    </w:p>
    <w:p>
      <w:r>
        <w:rPr>
          <w:rFonts w:hint="eastAsia"/>
        </w:rPr>
        <w:t>通过标准协议绑定设备进行数据的接入及数据实时监测。</w:t>
      </w:r>
    </w:p>
    <w:p>
      <w:r>
        <w:drawing>
          <wp:inline distT="0" distB="0" distL="114300" distR="114300">
            <wp:extent cx="5271770" cy="2595245"/>
            <wp:effectExtent l="0" t="0" r="1270" b="10795"/>
            <wp:docPr id="6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
                    <pic:cNvPicPr>
                      <a:picLocks noChangeAspect="1"/>
                    </pic:cNvPicPr>
                  </pic:nvPicPr>
                  <pic:blipFill>
                    <a:blip r:embed="rId6"/>
                    <a:stretch>
                      <a:fillRect/>
                    </a:stretch>
                  </pic:blipFill>
                  <pic:spPr>
                    <a:xfrm>
                      <a:off x="0" y="0"/>
                      <a:ext cx="5271770" cy="2595245"/>
                    </a:xfrm>
                    <a:prstGeom prst="rect">
                      <a:avLst/>
                    </a:prstGeom>
                    <a:noFill/>
                    <a:ln>
                      <a:noFill/>
                    </a:ln>
                  </pic:spPr>
                </pic:pic>
              </a:graphicData>
            </a:graphic>
          </wp:inline>
        </w:drawing>
      </w:r>
    </w:p>
    <w:p>
      <w:pPr>
        <w:ind w:firstLine="640" w:firstLineChars="200"/>
      </w:pPr>
      <w:r>
        <w:rPr>
          <w:rFonts w:hint="eastAsia"/>
        </w:rPr>
        <w:t>（2）视频监控</w:t>
      </w:r>
    </w:p>
    <w:p>
      <w:pPr>
        <w:ind w:firstLine="640" w:firstLineChars="200"/>
      </w:pPr>
      <w:r>
        <w:rPr>
          <w:rFonts w:hint="eastAsia"/>
        </w:rPr>
        <w:t>汇聚药融园公共区域视频监控画面信息，接入企业的中控室、重点监管危险化工工艺等重点部位的监控视频，实现火灾、烟雾、人员违章（中控室脱岗、睡岗）等事件进行预警。</w:t>
      </w:r>
    </w:p>
    <w:p>
      <w:r>
        <w:drawing>
          <wp:inline distT="0" distB="0" distL="114300" distR="114300">
            <wp:extent cx="5273675" cy="2540000"/>
            <wp:effectExtent l="0" t="0" r="14605" b="5080"/>
            <wp:docPr id="6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5"/>
                    <pic:cNvPicPr>
                      <a:picLocks noChangeAspect="1"/>
                    </pic:cNvPicPr>
                  </pic:nvPicPr>
                  <pic:blipFill>
                    <a:blip r:embed="rId7"/>
                    <a:stretch>
                      <a:fillRect/>
                    </a:stretch>
                  </pic:blipFill>
                  <pic:spPr>
                    <a:xfrm>
                      <a:off x="0" y="0"/>
                      <a:ext cx="5273675" cy="2540000"/>
                    </a:xfrm>
                    <a:prstGeom prst="rect">
                      <a:avLst/>
                    </a:prstGeom>
                    <a:noFill/>
                    <a:ln>
                      <a:noFill/>
                    </a:ln>
                  </pic:spPr>
                </pic:pic>
              </a:graphicData>
            </a:graphic>
          </wp:inline>
        </w:drawing>
      </w:r>
    </w:p>
    <w:p>
      <w:pPr>
        <w:pStyle w:val="4"/>
      </w:pPr>
      <w:r>
        <w:rPr>
          <w:rFonts w:hint="eastAsia"/>
        </w:rPr>
        <w:t>双重预防机制</w:t>
      </w:r>
    </w:p>
    <w:p>
      <w:pPr>
        <w:pStyle w:val="5"/>
      </w:pPr>
      <w:r>
        <w:rPr>
          <w:rFonts w:hint="eastAsia"/>
        </w:rPr>
        <w:t>隐患整改情况督办提醒</w:t>
      </w:r>
    </w:p>
    <w:p>
      <w:pPr>
        <w:ind w:firstLine="640" w:firstLineChars="200"/>
      </w:pPr>
      <w:r>
        <w:rPr>
          <w:rFonts w:hint="eastAsia"/>
        </w:rPr>
        <w:t>（1）隐患库</w:t>
      </w:r>
    </w:p>
    <w:p>
      <w:pPr>
        <w:ind w:firstLine="640" w:firstLineChars="200"/>
      </w:pPr>
      <w:r>
        <w:rPr>
          <w:rFonts w:hint="eastAsia"/>
        </w:rPr>
        <w:t>通过企业基本隐患问题，实现对企业隐患信息的填报登记、修改维护和在线查看管理的功能。形成园区相应的隐患库，并内置行业公有库，支持导入。</w:t>
      </w:r>
    </w:p>
    <w:p>
      <w:pPr>
        <w:ind w:firstLine="640" w:firstLineChars="200"/>
      </w:pPr>
      <w:r>
        <w:rPr>
          <w:rFonts w:hint="eastAsia"/>
        </w:rPr>
        <w:t>（2）检查表</w:t>
      </w:r>
    </w:p>
    <w:p>
      <w:pPr>
        <w:ind w:firstLine="640" w:firstLineChars="200"/>
      </w:pPr>
      <w:r>
        <w:rPr>
          <w:rFonts w:hint="eastAsia"/>
        </w:rPr>
        <w:t>实现园区针对不同企业建立相应的隐患检查表功能。</w:t>
      </w:r>
    </w:p>
    <w:p>
      <w:pPr>
        <w:ind w:firstLine="640" w:firstLineChars="200"/>
      </w:pPr>
      <w:r>
        <w:rPr>
          <w:rFonts w:hint="eastAsia"/>
        </w:rPr>
        <w:t>（3）检查计划</w:t>
      </w:r>
    </w:p>
    <w:p>
      <w:pPr>
        <w:ind w:firstLine="640" w:firstLineChars="200"/>
      </w:pPr>
      <w:r>
        <w:rPr>
          <w:rFonts w:hint="eastAsia"/>
        </w:rPr>
        <w:t>实现园区根据不同企业制定不同的检查计划。对企业隐患检查计划的填报登记、修改维护和在线查看管理的功能。</w:t>
      </w:r>
    </w:p>
    <w:p>
      <w:pPr>
        <w:ind w:firstLine="640" w:firstLineChars="200"/>
      </w:pPr>
      <w:r>
        <w:rPr>
          <w:rFonts w:hint="eastAsia"/>
        </w:rPr>
        <w:t>（4）隐患检查</w:t>
      </w:r>
    </w:p>
    <w:p>
      <w:pPr>
        <w:ind w:firstLine="640" w:firstLineChars="200"/>
      </w:pPr>
      <w:r>
        <w:rPr>
          <w:rFonts w:hint="eastAsia"/>
        </w:rPr>
        <w:t>实现园区对企业隐患检查任务信息的新增、编辑、删除、查看功能。</w:t>
      </w:r>
    </w:p>
    <w:p>
      <w:pPr>
        <w:ind w:firstLine="640" w:firstLineChars="200"/>
      </w:pPr>
      <w:r>
        <w:rPr>
          <w:rFonts w:hint="eastAsia"/>
        </w:rPr>
        <w:t>排查过程中发现的隐患详细信息的登记维护。实现园区对企业在某天进行的隐患排查信息详情内容包括:问题点、隐患描述、达标标准、违法规则、隐患图片、隐患类型、隐患所属企业整改措施等内容。</w:t>
      </w:r>
    </w:p>
    <w:p>
      <w:pPr>
        <w:ind w:firstLine="640" w:firstLineChars="200"/>
      </w:pPr>
      <w:r>
        <w:rPr>
          <w:rFonts w:hint="eastAsia"/>
        </w:rPr>
        <w:t>（5）督办提醒</w:t>
      </w:r>
    </w:p>
    <w:p>
      <w:pPr>
        <w:ind w:firstLine="640" w:firstLineChars="200"/>
      </w:pPr>
      <w:r>
        <w:rPr>
          <w:rFonts w:hint="eastAsia"/>
        </w:rPr>
        <w:t>实现对重大隐患线上督办、整改临期提醒及一般隐患超期警示功能，支持线上下发督办通知书、通过短信向有关人员发送提醒警示信息等功能，确保实现隐患闭环处置，以及不同行业、不同关键装置隐患多维度统计分析和可视化展示。</w:t>
      </w:r>
    </w:p>
    <w:p>
      <w:pPr>
        <w:ind w:firstLine="640" w:firstLineChars="200"/>
      </w:pPr>
      <w:r>
        <w:rPr>
          <w:rFonts w:hint="eastAsia"/>
        </w:rPr>
        <w:t>（6）隐患复查</w:t>
      </w:r>
    </w:p>
    <w:p>
      <w:r>
        <w:rPr>
          <w:rFonts w:hint="eastAsia"/>
        </w:rPr>
        <w:t>对园区下发至企业的隐患整改，企业整改完之后的隐患进行复查，复查完成后重大隐患销号归档，一般隐患分类归档。</w:t>
      </w:r>
    </w:p>
    <w:p>
      <w:pPr>
        <w:pStyle w:val="4"/>
      </w:pPr>
      <w:r>
        <w:rPr>
          <w:rFonts w:hint="eastAsia"/>
        </w:rPr>
        <w:t>封闭化管理</w:t>
      </w:r>
    </w:p>
    <w:p>
      <w:pPr>
        <w:pStyle w:val="5"/>
      </w:pPr>
      <w:r>
        <w:rPr>
          <w:rFonts w:hint="eastAsia"/>
        </w:rPr>
        <w:t>门禁/卡口管理系统</w:t>
      </w:r>
    </w:p>
    <w:p>
      <w:pPr>
        <w:ind w:firstLine="640" w:firstLineChars="200"/>
      </w:pPr>
      <w:r>
        <w:rPr>
          <w:rFonts w:hint="eastAsia"/>
        </w:rPr>
        <w:t>根据园区实际情况分类设置综合、专用、普通、应急门禁/卡口，部署门禁/卡口管理系统，实现对人、车、物进出园管控，支持门禁/卡口视频监控、人脸和车牌智能识别、自动放行、车道控制等。</w:t>
      </w:r>
    </w:p>
    <w:p>
      <w:pPr>
        <w:ind w:firstLine="640" w:firstLineChars="200"/>
      </w:pPr>
      <w:r>
        <w:rPr>
          <w:rFonts w:hint="eastAsia"/>
        </w:rPr>
        <w:t>建设电子卡口系统，实现封闭园区及安全防护的管理。</w:t>
      </w:r>
    </w:p>
    <w:p>
      <w:pPr>
        <w:pStyle w:val="5"/>
      </w:pPr>
      <w:r>
        <w:rPr>
          <w:rFonts w:hint="eastAsia"/>
        </w:rPr>
        <w:t>出入园管理</w:t>
      </w:r>
    </w:p>
    <w:p>
      <w:pPr>
        <w:ind w:firstLine="640" w:firstLineChars="200"/>
      </w:pPr>
      <w:r>
        <w:rPr>
          <w:rFonts w:hint="eastAsia"/>
        </w:rPr>
        <w:t>支持人员和车辆出入园申请、审核、长期/临时授权，支持危险化学品运输车辆预约、审核、授权，支持分区授权、黑名单管理，支持人流、车流统计等。</w:t>
      </w:r>
    </w:p>
    <w:p>
      <w:pPr>
        <w:pStyle w:val="4"/>
      </w:pPr>
      <w:r>
        <w:rPr>
          <w:rFonts w:hint="eastAsia"/>
        </w:rPr>
        <w:t>敏捷应急</w:t>
      </w:r>
    </w:p>
    <w:p>
      <w:pPr>
        <w:pStyle w:val="5"/>
      </w:pPr>
      <w:r>
        <w:rPr>
          <w:rFonts w:hint="eastAsia"/>
        </w:rPr>
        <w:t>应急预案管理</w:t>
      </w:r>
    </w:p>
    <w:p>
      <w:pPr>
        <w:ind w:firstLine="640" w:firstLineChars="200"/>
      </w:pPr>
      <w:r>
        <w:rPr>
          <w:rFonts w:hint="eastAsia"/>
        </w:rPr>
        <w:t>实现企业应急预案的备案、维护等功能，支持应急预案查询、检索，多维度统计分析。实现园区应急预案的录入、评审、公布等流程管理，支持上级部门应急预案的录入查询。</w:t>
      </w:r>
    </w:p>
    <w:p>
      <w:pPr>
        <w:pStyle w:val="5"/>
      </w:pPr>
      <w:r>
        <w:rPr>
          <w:rFonts w:hint="eastAsia"/>
        </w:rPr>
        <w:t>应急资源管理</w:t>
      </w:r>
    </w:p>
    <w:p>
      <w:pPr>
        <w:ind w:firstLine="640" w:firstLineChars="200"/>
      </w:pPr>
      <w:r>
        <w:rPr>
          <w:rFonts w:hint="eastAsia"/>
        </w:rPr>
        <w:t>汇聚应急救援专家、队伍和物资数据，实现园区内应急资源的统一管理，支持应急资源信息的维护和快速查询，包括专家动态评估管理，队伍状态评估管理，物资有效性、完备性和可用性评估管理，以及应急物资按企业、按类别的统计分析和可视化展示。</w:t>
      </w:r>
    </w:p>
    <w:p>
      <w:pPr>
        <w:pStyle w:val="5"/>
      </w:pPr>
      <w:r>
        <w:rPr>
          <w:rFonts w:hint="eastAsia"/>
        </w:rPr>
        <w:t>应急指挥调度</w:t>
      </w:r>
    </w:p>
    <w:p>
      <w:pPr>
        <w:ind w:firstLine="640" w:firstLineChars="200"/>
      </w:pPr>
      <w:r>
        <w:rPr>
          <w:rFonts w:hint="eastAsia"/>
        </w:rPr>
        <w:t>实现日常状态下的值班管理，应急状态下的接处警、上报续报、应急启动、资源调度、处置部署、应急终止等。</w:t>
      </w:r>
    </w:p>
    <w:p>
      <w:r>
        <w:drawing>
          <wp:inline distT="0" distB="0" distL="114300" distR="114300">
            <wp:extent cx="5269230" cy="2526030"/>
            <wp:effectExtent l="0" t="0" r="3810" b="3810"/>
            <wp:docPr id="2" name="图片 2" descr="ee37c65126383da24b9854d61719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e37c65126383da24b9854d61719360"/>
                    <pic:cNvPicPr>
                      <a:picLocks noChangeAspect="1"/>
                    </pic:cNvPicPr>
                  </pic:nvPicPr>
                  <pic:blipFill>
                    <a:blip r:embed="rId8"/>
                    <a:stretch>
                      <a:fillRect/>
                    </a:stretch>
                  </pic:blipFill>
                  <pic:spPr>
                    <a:xfrm>
                      <a:off x="0" y="0"/>
                      <a:ext cx="5269230" cy="2526030"/>
                    </a:xfrm>
                    <a:prstGeom prst="rect">
                      <a:avLst/>
                    </a:prstGeom>
                  </pic:spPr>
                </pic:pic>
              </a:graphicData>
            </a:graphic>
          </wp:inline>
        </w:drawing>
      </w:r>
    </w:p>
    <w:p>
      <w:pPr>
        <w:pStyle w:val="3"/>
      </w:pPr>
      <w:r>
        <w:rPr>
          <w:rFonts w:hint="eastAsia"/>
        </w:rPr>
        <w:t>前端硬件设施</w:t>
      </w:r>
    </w:p>
    <w:p>
      <w:pPr>
        <w:ind w:firstLine="640" w:firstLineChars="200"/>
      </w:pPr>
      <w:r>
        <w:rPr>
          <w:rFonts w:hint="eastAsia"/>
        </w:rPr>
        <w:t>药融园安全监控平台（一期）建设的前端硬件设备主要为仓库、动力配电室、中控室、危化品装卸区域、出入口、泵房等公共区域的视频监控设施，以及人员进出管理硬件系统、车辆进出口管理硬件系统和有毒有害易燃易爆气体在线检测仪（防爆）。</w:t>
      </w:r>
    </w:p>
    <w:p>
      <w:pPr>
        <w:ind w:firstLine="640" w:firstLineChars="200"/>
      </w:pPr>
      <w:r>
        <w:rPr>
          <w:rFonts w:hint="eastAsia"/>
        </w:rPr>
        <w:t>生产区域采用防爆高清视频监控摄像头，办公生活区域采用高清视频监控摄像头。</w:t>
      </w:r>
    </w:p>
    <w:p>
      <w:pPr>
        <w:pStyle w:val="4"/>
      </w:pPr>
      <w:r>
        <w:rPr>
          <w:rFonts w:hint="eastAsia"/>
        </w:rPr>
        <w:t>安装选点</w:t>
      </w:r>
    </w:p>
    <w:p>
      <w:pPr>
        <w:pStyle w:val="33"/>
        <w:numPr>
          <w:ilvl w:val="0"/>
          <w:numId w:val="7"/>
        </w:numPr>
        <w:ind w:firstLineChars="0"/>
      </w:pPr>
      <w:r>
        <w:rPr>
          <w:rFonts w:hint="eastAsia"/>
        </w:rPr>
        <w:t>高清防爆摄像头：</w:t>
      </w:r>
    </w:p>
    <w:p>
      <w:pPr>
        <w:ind w:firstLine="640" w:firstLineChars="200"/>
        <w:rPr>
          <w:rFonts w:hint="eastAsia"/>
        </w:rPr>
      </w:pPr>
      <w:r>
        <w:rPr>
          <w:rFonts w:hint="eastAsia"/>
          <w:lang w:val="en-US" w:eastAsia="zh-CN"/>
        </w:rPr>
        <w:t>1、</w:t>
      </w:r>
      <w:r>
        <w:rPr>
          <w:rFonts w:hint="eastAsia"/>
        </w:rPr>
        <w:t>甲类库区域的道路上（14套）</w:t>
      </w:r>
    </w:p>
    <w:p>
      <w:pPr>
        <w:ind w:firstLine="640" w:firstLineChars="200"/>
      </w:pPr>
      <w:r>
        <w:rPr>
          <w:rFonts w:hint="eastAsia"/>
          <w:lang w:val="en-US" w:eastAsia="zh-CN"/>
        </w:rPr>
        <w:t>2</w:t>
      </w:r>
      <w:r>
        <w:rPr>
          <w:rFonts w:hint="eastAsia"/>
        </w:rPr>
        <w:t>、丙类库：有5个丙类库，都装在门口，因此共装5套。</w:t>
      </w:r>
    </w:p>
    <w:p>
      <w:pPr>
        <w:ind w:firstLine="640" w:firstLineChars="200"/>
      </w:pPr>
      <w:r>
        <w:rPr>
          <w:rFonts w:hint="eastAsia"/>
          <w:lang w:val="en-US" w:eastAsia="zh-CN"/>
        </w:rPr>
        <w:t>3</w:t>
      </w:r>
      <w:r>
        <w:rPr>
          <w:rFonts w:hint="eastAsia"/>
        </w:rPr>
        <w:t>、动力配电室：需对变压器及周边环境进行监控。区域动力配电室一安装了10台变压器，区域动力配电室二安装了6台变压器，区域动力配电室三安装了5台变压器，总变配电室安装了3台变压器。因此动力配电室共安装10+6+5+3=24套。</w:t>
      </w:r>
    </w:p>
    <w:p>
      <w:pPr>
        <w:ind w:firstLine="640" w:firstLineChars="200"/>
      </w:pPr>
      <w:r>
        <w:rPr>
          <w:rFonts w:hint="eastAsia"/>
          <w:lang w:val="en-US" w:eastAsia="zh-CN"/>
        </w:rPr>
        <w:t>4</w:t>
      </w:r>
      <w:r>
        <w:rPr>
          <w:rFonts w:hint="eastAsia"/>
        </w:rPr>
        <w:t>、中控调度值班室内，需对值班人员在岗情况进行监控，对角安装，共2套。</w:t>
      </w:r>
    </w:p>
    <w:p>
      <w:pPr>
        <w:ind w:firstLine="640" w:firstLineChars="200"/>
      </w:pPr>
      <w:r>
        <w:rPr>
          <w:rFonts w:hint="eastAsia"/>
          <w:lang w:val="en-US" w:eastAsia="zh-CN"/>
        </w:rPr>
        <w:t>5</w:t>
      </w:r>
      <w:r>
        <w:rPr>
          <w:rFonts w:hint="eastAsia"/>
        </w:rPr>
        <w:t>、地磅附近安装1套。</w:t>
      </w:r>
    </w:p>
    <w:p>
      <w:pPr>
        <w:ind w:firstLine="640" w:firstLineChars="200"/>
      </w:pPr>
      <w:r>
        <w:rPr>
          <w:rFonts w:hint="eastAsia"/>
          <w:lang w:val="en-US" w:eastAsia="zh-CN"/>
        </w:rPr>
        <w:t>6</w:t>
      </w:r>
      <w:r>
        <w:rPr>
          <w:rFonts w:hint="eastAsia"/>
        </w:rPr>
        <w:t>、危化品车辆装修平台/区域安装4套。</w:t>
      </w:r>
    </w:p>
    <w:p>
      <w:pPr>
        <w:pStyle w:val="33"/>
        <w:numPr>
          <w:ilvl w:val="0"/>
          <w:numId w:val="7"/>
        </w:numPr>
        <w:ind w:firstLineChars="0"/>
      </w:pPr>
      <w:r>
        <w:rPr>
          <w:rFonts w:hint="eastAsia"/>
        </w:rPr>
        <w:t>高清摄像头：</w:t>
      </w:r>
    </w:p>
    <w:p>
      <w:pPr>
        <w:ind w:firstLine="640" w:firstLineChars="200"/>
      </w:pPr>
      <w:r>
        <w:rPr>
          <w:rFonts w:hint="eastAsia"/>
        </w:rPr>
        <w:t>1、二道门、主门、物流门各安装1套。</w:t>
      </w:r>
    </w:p>
    <w:p>
      <w:pPr>
        <w:ind w:firstLine="640" w:firstLineChars="200"/>
      </w:pPr>
      <w:r>
        <w:rPr>
          <w:rFonts w:hint="eastAsia"/>
        </w:rPr>
        <w:t>2、消防水泵房内安装2套。</w:t>
      </w:r>
    </w:p>
    <w:p>
      <w:pPr>
        <w:ind w:firstLine="640" w:firstLineChars="200"/>
      </w:pPr>
      <w:r>
        <w:rPr>
          <w:rFonts w:hint="eastAsia"/>
        </w:rPr>
        <w:t>3、雨水池提升泵房内安装2套。</w:t>
      </w:r>
    </w:p>
    <w:p>
      <w:pPr>
        <w:ind w:firstLine="640" w:firstLineChars="200"/>
      </w:pPr>
      <w:r>
        <w:rPr>
          <w:rFonts w:hint="eastAsia"/>
        </w:rPr>
        <w:t>4、监控雨水切换阀及附近环境情况，装1套。</w:t>
      </w:r>
    </w:p>
    <w:p>
      <w:pPr>
        <w:pStyle w:val="33"/>
        <w:numPr>
          <w:ilvl w:val="0"/>
          <w:numId w:val="7"/>
        </w:numPr>
        <w:ind w:firstLineChars="0"/>
      </w:pPr>
      <w:r>
        <w:rPr>
          <w:rFonts w:hint="eastAsia"/>
        </w:rPr>
        <w:t>有毒有害易燃易爆气体在线检测仪（防爆）：</w:t>
      </w:r>
    </w:p>
    <w:p>
      <w:pPr>
        <w:ind w:firstLine="640" w:firstLineChars="200"/>
      </w:pPr>
      <w:r>
        <w:rPr>
          <w:rFonts w:hint="eastAsia"/>
        </w:rPr>
        <w:t>有毒有害易燃易爆气体在线检测仪安装在甲类库的房间内，共有64间房，因此安装64套。</w:t>
      </w:r>
    </w:p>
    <w:p>
      <w:pPr>
        <w:pStyle w:val="33"/>
        <w:numPr>
          <w:ilvl w:val="0"/>
          <w:numId w:val="7"/>
        </w:numPr>
        <w:ind w:firstLineChars="0"/>
      </w:pPr>
      <w:r>
        <w:rPr>
          <w:rFonts w:hint="eastAsia"/>
        </w:rPr>
        <w:t>人员进出口管理硬件系统：</w:t>
      </w:r>
    </w:p>
    <w:p>
      <w:pPr>
        <w:ind w:firstLine="640" w:firstLineChars="200"/>
      </w:pPr>
      <w:r>
        <w:rPr>
          <w:rFonts w:hint="eastAsia"/>
        </w:rPr>
        <w:t>设置在二道口，控制人员进出生产区域，1套。</w:t>
      </w:r>
    </w:p>
    <w:p>
      <w:pPr>
        <w:pStyle w:val="33"/>
        <w:numPr>
          <w:ilvl w:val="0"/>
          <w:numId w:val="7"/>
        </w:numPr>
        <w:ind w:firstLineChars="0"/>
      </w:pPr>
      <w:r>
        <w:rPr>
          <w:rFonts w:hint="eastAsia"/>
        </w:rPr>
        <w:t>车辆进出口管理硬件系统：</w:t>
      </w:r>
    </w:p>
    <w:p>
      <w:pPr>
        <w:ind w:firstLine="640" w:firstLineChars="200"/>
      </w:pPr>
      <w:r>
        <w:rPr>
          <w:rFonts w:hint="eastAsia"/>
        </w:rPr>
        <w:t>分别设置在前门、物流门，控制车辆（私家车、危化品运输车等）进出药融园，共2套。</w:t>
      </w:r>
    </w:p>
    <w:p>
      <w:pPr>
        <w:pStyle w:val="4"/>
      </w:pPr>
      <w:r>
        <w:rPr>
          <w:rFonts w:hint="eastAsia"/>
        </w:rPr>
        <w:t>硬件设施清单</w:t>
      </w:r>
    </w:p>
    <w:p>
      <w:pPr>
        <w:pStyle w:val="27"/>
        <w:spacing w:before="217"/>
        <w:ind w:left="188" w:hanging="188"/>
      </w:pPr>
      <w:r>
        <w:rPr>
          <w:rFonts w:hint="eastAsia"/>
        </w:rPr>
        <w:t>前端硬件设施清单</w:t>
      </w:r>
    </w:p>
    <w:tbl>
      <w:tblPr>
        <w:tblStyle w:val="14"/>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1667"/>
        <w:gridCol w:w="2532"/>
        <w:gridCol w:w="705"/>
        <w:gridCol w:w="708"/>
        <w:gridCol w:w="2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620" w:type="dxa"/>
            <w:vAlign w:val="center"/>
          </w:tcPr>
          <w:p>
            <w:pPr>
              <w:pStyle w:val="28"/>
              <w:rPr>
                <w:b/>
                <w:bCs/>
              </w:rPr>
            </w:pPr>
            <w:r>
              <w:rPr>
                <w:rFonts w:hint="eastAsia"/>
                <w:b/>
                <w:bCs/>
              </w:rPr>
              <w:t>序号</w:t>
            </w:r>
          </w:p>
        </w:tc>
        <w:tc>
          <w:tcPr>
            <w:tcW w:w="1667" w:type="dxa"/>
            <w:vAlign w:val="center"/>
          </w:tcPr>
          <w:p>
            <w:pPr>
              <w:pStyle w:val="28"/>
              <w:rPr>
                <w:b/>
                <w:bCs/>
              </w:rPr>
            </w:pPr>
            <w:r>
              <w:rPr>
                <w:rFonts w:hint="eastAsia"/>
                <w:b/>
                <w:bCs/>
              </w:rPr>
              <w:t>设备名称</w:t>
            </w:r>
          </w:p>
        </w:tc>
        <w:tc>
          <w:tcPr>
            <w:tcW w:w="2532" w:type="dxa"/>
            <w:vAlign w:val="center"/>
          </w:tcPr>
          <w:p>
            <w:pPr>
              <w:pStyle w:val="28"/>
              <w:rPr>
                <w:b/>
                <w:bCs/>
              </w:rPr>
            </w:pPr>
            <w:r>
              <w:rPr>
                <w:rFonts w:hint="eastAsia"/>
                <w:b/>
                <w:bCs/>
              </w:rPr>
              <w:t>安装点位及要求</w:t>
            </w:r>
          </w:p>
        </w:tc>
        <w:tc>
          <w:tcPr>
            <w:tcW w:w="705" w:type="dxa"/>
            <w:vAlign w:val="center"/>
          </w:tcPr>
          <w:p>
            <w:pPr>
              <w:pStyle w:val="28"/>
              <w:rPr>
                <w:b/>
                <w:bCs/>
              </w:rPr>
            </w:pPr>
            <w:r>
              <w:rPr>
                <w:rFonts w:hint="eastAsia"/>
                <w:b/>
                <w:bCs/>
              </w:rPr>
              <w:t>数量</w:t>
            </w:r>
          </w:p>
        </w:tc>
        <w:tc>
          <w:tcPr>
            <w:tcW w:w="708" w:type="dxa"/>
            <w:vAlign w:val="center"/>
          </w:tcPr>
          <w:p>
            <w:pPr>
              <w:pStyle w:val="28"/>
              <w:rPr>
                <w:b/>
                <w:bCs/>
              </w:rPr>
            </w:pPr>
            <w:r>
              <w:rPr>
                <w:rFonts w:hint="eastAsia"/>
                <w:b/>
                <w:bCs/>
              </w:rPr>
              <w:t>单位</w:t>
            </w:r>
          </w:p>
        </w:tc>
        <w:tc>
          <w:tcPr>
            <w:tcW w:w="2064" w:type="dxa"/>
            <w:vAlign w:val="center"/>
          </w:tcPr>
          <w:p>
            <w:pPr>
              <w:pStyle w:val="28"/>
              <w:rPr>
                <w:b/>
                <w:bCs/>
              </w:rPr>
            </w:pPr>
            <w:r>
              <w:rPr>
                <w:rFonts w:hint="eastAsia"/>
                <w:b/>
                <w:bC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8" w:hRule="atLeast"/>
        </w:trPr>
        <w:tc>
          <w:tcPr>
            <w:tcW w:w="620" w:type="dxa"/>
            <w:vAlign w:val="center"/>
          </w:tcPr>
          <w:p>
            <w:pPr>
              <w:pStyle w:val="28"/>
            </w:pPr>
            <w:r>
              <w:rPr>
                <w:rFonts w:hint="eastAsia"/>
              </w:rPr>
              <w:t>1</w:t>
            </w:r>
          </w:p>
        </w:tc>
        <w:tc>
          <w:tcPr>
            <w:tcW w:w="1667" w:type="dxa"/>
            <w:vAlign w:val="center"/>
          </w:tcPr>
          <w:p>
            <w:pPr>
              <w:pStyle w:val="28"/>
            </w:pPr>
            <w:r>
              <w:rPr>
                <w:rFonts w:hint="eastAsia"/>
              </w:rPr>
              <w:t>高清防爆摄像头</w:t>
            </w:r>
          </w:p>
        </w:tc>
        <w:tc>
          <w:tcPr>
            <w:tcW w:w="2532" w:type="dxa"/>
            <w:vAlign w:val="center"/>
          </w:tcPr>
          <w:p>
            <w:pPr>
              <w:pStyle w:val="28"/>
            </w:pPr>
            <w:r>
              <w:rPr>
                <w:rFonts w:hint="eastAsia"/>
                <w:lang w:val="en-US" w:eastAsia="zh-CN"/>
              </w:rPr>
              <w:t>1</w:t>
            </w:r>
            <w:r>
              <w:rPr>
                <w:rFonts w:hint="eastAsia"/>
              </w:rPr>
              <w:t>、甲类库区域的道路上（14套）</w:t>
            </w:r>
            <w:r>
              <w:rPr>
                <w:rFonts w:hint="eastAsia"/>
              </w:rPr>
              <w:br w:type="textWrapping"/>
            </w:r>
            <w:r>
              <w:rPr>
                <w:rFonts w:hint="eastAsia"/>
                <w:lang w:val="en-US" w:eastAsia="zh-CN"/>
              </w:rPr>
              <w:t>2</w:t>
            </w:r>
            <w:r>
              <w:rPr>
                <w:rFonts w:hint="eastAsia"/>
              </w:rPr>
              <w:t>、丙类库门口（5套）</w:t>
            </w:r>
            <w:r>
              <w:rPr>
                <w:rFonts w:hint="eastAsia"/>
              </w:rPr>
              <w:br w:type="textWrapping"/>
            </w:r>
            <w:r>
              <w:rPr>
                <w:rFonts w:hint="eastAsia"/>
                <w:lang w:val="en-US" w:eastAsia="zh-CN"/>
              </w:rPr>
              <w:t>3</w:t>
            </w:r>
            <w:r>
              <w:rPr>
                <w:rFonts w:hint="eastAsia"/>
              </w:rPr>
              <w:t>、区域动力配电室二（6套）、三（5套）的房间里</w:t>
            </w:r>
            <w:r>
              <w:rPr>
                <w:rFonts w:hint="eastAsia"/>
              </w:rPr>
              <w:br w:type="textWrapping"/>
            </w:r>
            <w:r>
              <w:rPr>
                <w:rFonts w:hint="eastAsia"/>
                <w:lang w:val="en-US" w:eastAsia="zh-CN"/>
              </w:rPr>
              <w:t>4</w:t>
            </w:r>
            <w:r>
              <w:rPr>
                <w:rFonts w:hint="eastAsia"/>
              </w:rPr>
              <w:t>、区域动力配电室一的房间里（10套）</w:t>
            </w:r>
            <w:r>
              <w:rPr>
                <w:rFonts w:hint="eastAsia"/>
              </w:rPr>
              <w:br w:type="textWrapping"/>
            </w:r>
            <w:r>
              <w:rPr>
                <w:rFonts w:hint="eastAsia"/>
                <w:lang w:val="en-US" w:eastAsia="zh-CN"/>
              </w:rPr>
              <w:t>5</w:t>
            </w:r>
            <w:r>
              <w:rPr>
                <w:rFonts w:hint="eastAsia"/>
              </w:rPr>
              <w:t>、园区中控调度值班室内（2套）</w:t>
            </w:r>
            <w:r>
              <w:rPr>
                <w:rFonts w:hint="eastAsia"/>
              </w:rPr>
              <w:br w:type="textWrapping"/>
            </w:r>
            <w:r>
              <w:rPr>
                <w:rFonts w:hint="eastAsia"/>
                <w:lang w:val="en-US" w:eastAsia="zh-CN"/>
              </w:rPr>
              <w:t>6</w:t>
            </w:r>
            <w:r>
              <w:rPr>
                <w:rFonts w:hint="eastAsia"/>
              </w:rPr>
              <w:t>、总变配电室（3套）</w:t>
            </w:r>
            <w:r>
              <w:rPr>
                <w:rFonts w:hint="eastAsia"/>
              </w:rPr>
              <w:br w:type="textWrapping"/>
            </w:r>
            <w:r>
              <w:rPr>
                <w:rFonts w:hint="eastAsia"/>
                <w:lang w:val="en-US" w:eastAsia="zh-CN"/>
              </w:rPr>
              <w:t>7</w:t>
            </w:r>
            <w:r>
              <w:rPr>
                <w:rFonts w:hint="eastAsia"/>
              </w:rPr>
              <w:t>、地磅附近（1套）</w:t>
            </w:r>
            <w:r>
              <w:rPr>
                <w:rFonts w:hint="eastAsia"/>
              </w:rPr>
              <w:br w:type="textWrapping"/>
            </w:r>
            <w:r>
              <w:rPr>
                <w:rFonts w:hint="eastAsia"/>
                <w:lang w:val="en-US" w:eastAsia="zh-CN"/>
              </w:rPr>
              <w:t>8</w:t>
            </w:r>
            <w:r>
              <w:rPr>
                <w:rFonts w:hint="eastAsia"/>
              </w:rPr>
              <w:t>、危化品车辆装卸平台（4套）</w:t>
            </w:r>
          </w:p>
        </w:tc>
        <w:tc>
          <w:tcPr>
            <w:tcW w:w="705" w:type="dxa"/>
            <w:vAlign w:val="center"/>
          </w:tcPr>
          <w:p>
            <w:pPr>
              <w:pStyle w:val="28"/>
            </w:pPr>
            <w:r>
              <w:rPr>
                <w:rFonts w:hint="eastAsia"/>
              </w:rPr>
              <w:t>146</w:t>
            </w:r>
          </w:p>
        </w:tc>
        <w:tc>
          <w:tcPr>
            <w:tcW w:w="708" w:type="dxa"/>
            <w:vAlign w:val="center"/>
          </w:tcPr>
          <w:p>
            <w:pPr>
              <w:pStyle w:val="28"/>
            </w:pPr>
            <w:r>
              <w:rPr>
                <w:rFonts w:hint="eastAsia"/>
              </w:rPr>
              <w:t>套</w:t>
            </w:r>
          </w:p>
        </w:tc>
        <w:tc>
          <w:tcPr>
            <w:tcW w:w="2064" w:type="dxa"/>
            <w:vAlign w:val="center"/>
          </w:tcPr>
          <w:p>
            <w:pPr>
              <w:pStyle w:val="28"/>
            </w:pPr>
            <w:r>
              <w:rPr>
                <w:rFonts w:hint="eastAsia"/>
              </w:rPr>
              <w:t>1、存储在本地机房，正常视频画面存储时间不少于30天。存储视频图像附带位置、时间信息。</w:t>
            </w:r>
            <w:r>
              <w:rPr>
                <w:rFonts w:hint="eastAsia"/>
              </w:rPr>
              <w:br w:type="textWrapping"/>
            </w:r>
            <w:r>
              <w:rPr>
                <w:rFonts w:hint="eastAsia"/>
              </w:rPr>
              <w:t>2、甲类库房间内的摄像头要能进行烟雾智能识别并报警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trPr>
        <w:tc>
          <w:tcPr>
            <w:tcW w:w="620" w:type="dxa"/>
            <w:vAlign w:val="center"/>
          </w:tcPr>
          <w:p>
            <w:pPr>
              <w:pStyle w:val="28"/>
            </w:pPr>
            <w:r>
              <w:rPr>
                <w:rFonts w:hint="eastAsia"/>
              </w:rPr>
              <w:t>2</w:t>
            </w:r>
          </w:p>
        </w:tc>
        <w:tc>
          <w:tcPr>
            <w:tcW w:w="1667" w:type="dxa"/>
            <w:vAlign w:val="center"/>
          </w:tcPr>
          <w:p>
            <w:pPr>
              <w:pStyle w:val="28"/>
            </w:pPr>
            <w:r>
              <w:rPr>
                <w:rFonts w:hint="eastAsia"/>
              </w:rPr>
              <w:t>高清摄像头</w:t>
            </w:r>
          </w:p>
        </w:tc>
        <w:tc>
          <w:tcPr>
            <w:tcW w:w="2532" w:type="dxa"/>
            <w:vAlign w:val="center"/>
          </w:tcPr>
          <w:p>
            <w:pPr>
              <w:pStyle w:val="28"/>
            </w:pPr>
            <w:r>
              <w:rPr>
                <w:rFonts w:hint="eastAsia"/>
              </w:rPr>
              <w:t>1、二道门（1套）、主门（1套）、物流门（1套）</w:t>
            </w:r>
          </w:p>
          <w:p>
            <w:pPr>
              <w:pStyle w:val="28"/>
            </w:pPr>
            <w:r>
              <w:rPr>
                <w:rFonts w:hint="eastAsia"/>
              </w:rPr>
              <w:t>2、消防水泵房内（2套）</w:t>
            </w:r>
          </w:p>
          <w:p>
            <w:pPr>
              <w:pStyle w:val="28"/>
            </w:pPr>
            <w:r>
              <w:rPr>
                <w:rFonts w:hint="eastAsia"/>
              </w:rPr>
              <w:t>3、雨水池提升泵房内（2套）</w:t>
            </w:r>
          </w:p>
          <w:p>
            <w:pPr>
              <w:pStyle w:val="28"/>
            </w:pPr>
            <w:r>
              <w:rPr>
                <w:rFonts w:hint="eastAsia"/>
              </w:rPr>
              <w:t>4、雨水切换阀附近（1套）</w:t>
            </w:r>
          </w:p>
        </w:tc>
        <w:tc>
          <w:tcPr>
            <w:tcW w:w="705" w:type="dxa"/>
            <w:vAlign w:val="center"/>
          </w:tcPr>
          <w:p>
            <w:pPr>
              <w:pStyle w:val="28"/>
            </w:pPr>
            <w:r>
              <w:rPr>
                <w:rFonts w:hint="eastAsia"/>
              </w:rPr>
              <w:t>8</w:t>
            </w:r>
          </w:p>
        </w:tc>
        <w:tc>
          <w:tcPr>
            <w:tcW w:w="708" w:type="dxa"/>
            <w:vAlign w:val="center"/>
          </w:tcPr>
          <w:p>
            <w:pPr>
              <w:pStyle w:val="28"/>
            </w:pPr>
            <w:r>
              <w:rPr>
                <w:rFonts w:hint="eastAsia"/>
              </w:rPr>
              <w:t>套</w:t>
            </w:r>
          </w:p>
        </w:tc>
        <w:tc>
          <w:tcPr>
            <w:tcW w:w="2064" w:type="dxa"/>
            <w:vAlign w:val="center"/>
          </w:tcPr>
          <w:p>
            <w:pPr>
              <w:pStyle w:val="28"/>
            </w:pPr>
            <w:r>
              <w:rPr>
                <w:rFonts w:hint="eastAsia"/>
              </w:rPr>
              <w:t>1、存储在本地机房，正常视频画面存储时间不少于30天。存储视频图像附带位置、时间信息。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620" w:type="dxa"/>
            <w:vAlign w:val="center"/>
          </w:tcPr>
          <w:p>
            <w:pPr>
              <w:pStyle w:val="28"/>
              <w:rPr>
                <w:rFonts w:hint="eastAsia" w:eastAsia="宋体"/>
                <w:lang w:eastAsia="zh-CN"/>
              </w:rPr>
            </w:pPr>
            <w:r>
              <w:rPr>
                <w:rFonts w:hint="eastAsia"/>
                <w:lang w:val="en-US" w:eastAsia="zh-CN"/>
              </w:rPr>
              <w:t>3</w:t>
            </w:r>
          </w:p>
        </w:tc>
        <w:tc>
          <w:tcPr>
            <w:tcW w:w="1667" w:type="dxa"/>
            <w:vAlign w:val="center"/>
          </w:tcPr>
          <w:p>
            <w:pPr>
              <w:pStyle w:val="28"/>
            </w:pPr>
            <w:r>
              <w:rPr>
                <w:rFonts w:hint="eastAsia"/>
              </w:rPr>
              <w:t>人员进出管理硬件系统</w:t>
            </w:r>
          </w:p>
        </w:tc>
        <w:tc>
          <w:tcPr>
            <w:tcW w:w="2532" w:type="dxa"/>
            <w:vAlign w:val="center"/>
          </w:tcPr>
          <w:p>
            <w:pPr>
              <w:pStyle w:val="28"/>
            </w:pPr>
            <w:r>
              <w:rPr>
                <w:rFonts w:hint="eastAsia"/>
              </w:rPr>
              <w:t>设置在二道口，需包含人员进出闸口、人脸识别。</w:t>
            </w:r>
          </w:p>
        </w:tc>
        <w:tc>
          <w:tcPr>
            <w:tcW w:w="705" w:type="dxa"/>
            <w:vAlign w:val="center"/>
          </w:tcPr>
          <w:p>
            <w:pPr>
              <w:pStyle w:val="28"/>
            </w:pPr>
            <w:r>
              <w:rPr>
                <w:rFonts w:hint="eastAsia"/>
              </w:rPr>
              <w:t>1</w:t>
            </w:r>
          </w:p>
        </w:tc>
        <w:tc>
          <w:tcPr>
            <w:tcW w:w="708" w:type="dxa"/>
            <w:vAlign w:val="center"/>
          </w:tcPr>
          <w:p>
            <w:pPr>
              <w:pStyle w:val="28"/>
            </w:pPr>
            <w:r>
              <w:rPr>
                <w:rFonts w:hint="eastAsia"/>
              </w:rPr>
              <w:t>套</w:t>
            </w:r>
          </w:p>
        </w:tc>
        <w:tc>
          <w:tcPr>
            <w:tcW w:w="2064" w:type="dxa"/>
            <w:vAlign w:val="center"/>
          </w:tcPr>
          <w:p>
            <w:pPr>
              <w:pStyle w:val="28"/>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620" w:type="dxa"/>
            <w:vAlign w:val="center"/>
          </w:tcPr>
          <w:p>
            <w:pPr>
              <w:pStyle w:val="28"/>
              <w:rPr>
                <w:rFonts w:hint="eastAsia" w:eastAsia="宋体"/>
                <w:lang w:eastAsia="zh-CN"/>
              </w:rPr>
            </w:pPr>
            <w:r>
              <w:rPr>
                <w:rFonts w:hint="eastAsia"/>
                <w:lang w:val="en-US" w:eastAsia="zh-CN"/>
              </w:rPr>
              <w:t>4</w:t>
            </w:r>
          </w:p>
        </w:tc>
        <w:tc>
          <w:tcPr>
            <w:tcW w:w="1667" w:type="dxa"/>
            <w:vAlign w:val="center"/>
          </w:tcPr>
          <w:p>
            <w:pPr>
              <w:pStyle w:val="28"/>
            </w:pPr>
            <w:r>
              <w:rPr>
                <w:rFonts w:hint="eastAsia"/>
              </w:rPr>
              <w:t>车辆进出口管理硬件系统</w:t>
            </w:r>
          </w:p>
        </w:tc>
        <w:tc>
          <w:tcPr>
            <w:tcW w:w="2532" w:type="dxa"/>
            <w:vAlign w:val="center"/>
          </w:tcPr>
          <w:p>
            <w:pPr>
              <w:pStyle w:val="28"/>
            </w:pPr>
            <w:r>
              <w:rPr>
                <w:rFonts w:hint="eastAsia"/>
              </w:rPr>
              <w:t>分别设置在前门、物流门，均需包含车辆出入道闸、车牌智能识别</w:t>
            </w:r>
          </w:p>
        </w:tc>
        <w:tc>
          <w:tcPr>
            <w:tcW w:w="705" w:type="dxa"/>
            <w:vAlign w:val="center"/>
          </w:tcPr>
          <w:p>
            <w:pPr>
              <w:pStyle w:val="28"/>
            </w:pPr>
            <w:r>
              <w:rPr>
                <w:rFonts w:hint="eastAsia"/>
              </w:rPr>
              <w:t>2</w:t>
            </w:r>
          </w:p>
        </w:tc>
        <w:tc>
          <w:tcPr>
            <w:tcW w:w="708" w:type="dxa"/>
            <w:vAlign w:val="center"/>
          </w:tcPr>
          <w:p>
            <w:pPr>
              <w:pStyle w:val="28"/>
            </w:pPr>
            <w:r>
              <w:rPr>
                <w:rFonts w:hint="eastAsia"/>
              </w:rPr>
              <w:t>套</w:t>
            </w:r>
          </w:p>
        </w:tc>
        <w:tc>
          <w:tcPr>
            <w:tcW w:w="2064" w:type="dxa"/>
            <w:vAlign w:val="center"/>
          </w:tcPr>
          <w:p>
            <w:pPr>
              <w:pStyle w:val="28"/>
            </w:pPr>
          </w:p>
        </w:tc>
      </w:tr>
    </w:tbl>
    <w:p>
      <w:pPr>
        <w:pStyle w:val="3"/>
      </w:pPr>
      <w:r>
        <w:rPr>
          <w:rFonts w:hint="eastAsia"/>
        </w:rPr>
        <w:t>云资源</w:t>
      </w:r>
    </w:p>
    <w:p>
      <w:pPr>
        <w:ind w:firstLine="640" w:firstLineChars="200"/>
      </w:pPr>
      <w:r>
        <w:rPr>
          <w:rFonts w:hint="eastAsia"/>
        </w:rPr>
        <w:t>云资源采取按年租赁的方式，租期</w:t>
      </w:r>
      <w:r>
        <w:t>1</w:t>
      </w:r>
      <w:r>
        <w:rPr>
          <w:rFonts w:hint="eastAsia"/>
        </w:rPr>
        <w:t>年。</w:t>
      </w:r>
    </w:p>
    <w:p>
      <w:pPr>
        <w:pStyle w:val="27"/>
        <w:spacing w:before="217"/>
        <w:ind w:left="188" w:hanging="188"/>
      </w:pPr>
      <w:r>
        <w:rPr>
          <w:rFonts w:hint="eastAsia"/>
        </w:rPr>
        <w:t>云资源租赁清单</w:t>
      </w:r>
    </w:p>
    <w:tbl>
      <w:tblPr>
        <w:tblStyle w:val="14"/>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92"/>
        <w:gridCol w:w="866"/>
        <w:gridCol w:w="866"/>
        <w:gridCol w:w="4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04" w:type="dxa"/>
            <w:noWrap/>
            <w:vAlign w:val="center"/>
          </w:tcPr>
          <w:p>
            <w:pPr>
              <w:pStyle w:val="28"/>
              <w:rPr>
                <w:b/>
                <w:bCs/>
              </w:rPr>
            </w:pPr>
            <w:r>
              <w:rPr>
                <w:rFonts w:hint="eastAsia"/>
                <w:b/>
                <w:bCs/>
              </w:rPr>
              <w:t>序号</w:t>
            </w:r>
          </w:p>
        </w:tc>
        <w:tc>
          <w:tcPr>
            <w:tcW w:w="1692" w:type="dxa"/>
            <w:noWrap/>
            <w:vAlign w:val="center"/>
          </w:tcPr>
          <w:p>
            <w:pPr>
              <w:pStyle w:val="28"/>
              <w:rPr>
                <w:b/>
                <w:bCs/>
              </w:rPr>
            </w:pPr>
            <w:r>
              <w:rPr>
                <w:rFonts w:hint="eastAsia"/>
                <w:b/>
                <w:bCs/>
              </w:rPr>
              <w:t>项目</w:t>
            </w:r>
          </w:p>
        </w:tc>
        <w:tc>
          <w:tcPr>
            <w:tcW w:w="866" w:type="dxa"/>
            <w:noWrap/>
            <w:vAlign w:val="center"/>
          </w:tcPr>
          <w:p>
            <w:pPr>
              <w:pStyle w:val="28"/>
              <w:rPr>
                <w:b/>
                <w:bCs/>
              </w:rPr>
            </w:pPr>
            <w:r>
              <w:rPr>
                <w:rFonts w:hint="eastAsia"/>
                <w:b/>
                <w:bCs/>
              </w:rPr>
              <w:t>数量</w:t>
            </w:r>
          </w:p>
        </w:tc>
        <w:tc>
          <w:tcPr>
            <w:tcW w:w="866" w:type="dxa"/>
            <w:noWrap/>
            <w:vAlign w:val="center"/>
          </w:tcPr>
          <w:p>
            <w:pPr>
              <w:pStyle w:val="28"/>
              <w:rPr>
                <w:b/>
                <w:bCs/>
              </w:rPr>
            </w:pPr>
            <w:r>
              <w:rPr>
                <w:rFonts w:hint="eastAsia"/>
                <w:b/>
                <w:bCs/>
              </w:rPr>
              <w:t>单位</w:t>
            </w:r>
          </w:p>
        </w:tc>
        <w:tc>
          <w:tcPr>
            <w:tcW w:w="4168" w:type="dxa"/>
            <w:noWrap/>
            <w:vAlign w:val="center"/>
          </w:tcPr>
          <w:p>
            <w:pPr>
              <w:pStyle w:val="28"/>
              <w:rPr>
                <w:b/>
                <w:bCs/>
              </w:rPr>
            </w:pPr>
            <w:r>
              <w:rPr>
                <w:rFonts w:hint="eastAsia"/>
                <w:b/>
                <w:bCs/>
              </w:rPr>
              <w:t>技术参数要求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04" w:type="dxa"/>
            <w:noWrap/>
            <w:vAlign w:val="center"/>
          </w:tcPr>
          <w:p>
            <w:pPr>
              <w:pStyle w:val="28"/>
            </w:pPr>
            <w:r>
              <w:rPr>
                <w:rFonts w:hint="eastAsia"/>
              </w:rPr>
              <w:t>1</w:t>
            </w:r>
          </w:p>
        </w:tc>
        <w:tc>
          <w:tcPr>
            <w:tcW w:w="1692" w:type="dxa"/>
            <w:noWrap/>
            <w:vAlign w:val="center"/>
          </w:tcPr>
          <w:p>
            <w:pPr>
              <w:pStyle w:val="28"/>
            </w:pPr>
            <w:r>
              <w:rPr>
                <w:rFonts w:hint="eastAsia"/>
              </w:rPr>
              <w:t>应用云服务器</w:t>
            </w:r>
          </w:p>
        </w:tc>
        <w:tc>
          <w:tcPr>
            <w:tcW w:w="866" w:type="dxa"/>
            <w:noWrap/>
            <w:vAlign w:val="center"/>
          </w:tcPr>
          <w:p>
            <w:pPr>
              <w:pStyle w:val="28"/>
            </w:pPr>
            <w:r>
              <w:rPr>
                <w:rFonts w:hint="eastAsia"/>
              </w:rPr>
              <w:t>1</w:t>
            </w:r>
          </w:p>
        </w:tc>
        <w:tc>
          <w:tcPr>
            <w:tcW w:w="866" w:type="dxa"/>
            <w:noWrap/>
            <w:vAlign w:val="center"/>
          </w:tcPr>
          <w:p>
            <w:pPr>
              <w:pStyle w:val="28"/>
            </w:pPr>
            <w:r>
              <w:rPr>
                <w:rFonts w:hint="eastAsia"/>
              </w:rPr>
              <w:t>个/年</w:t>
            </w:r>
          </w:p>
        </w:tc>
        <w:tc>
          <w:tcPr>
            <w:tcW w:w="4168" w:type="dxa"/>
            <w:vAlign w:val="center"/>
          </w:tcPr>
          <w:p>
            <w:pPr>
              <w:pStyle w:val="28"/>
            </w:pPr>
            <w:r>
              <w:rPr>
                <w:rFonts w:hint="eastAsia"/>
              </w:rPr>
              <w:t>应用服务器：16核64G | 系统盘：256G | 带宽：10M | 数据盘：2T | 带宽：10M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04" w:type="dxa"/>
            <w:noWrap/>
            <w:vAlign w:val="center"/>
          </w:tcPr>
          <w:p>
            <w:pPr>
              <w:pStyle w:val="28"/>
            </w:pPr>
            <w:r>
              <w:rPr>
                <w:rFonts w:hint="eastAsia"/>
              </w:rPr>
              <w:t>2</w:t>
            </w:r>
          </w:p>
        </w:tc>
        <w:tc>
          <w:tcPr>
            <w:tcW w:w="1692" w:type="dxa"/>
            <w:noWrap/>
            <w:vAlign w:val="center"/>
          </w:tcPr>
          <w:p>
            <w:pPr>
              <w:pStyle w:val="28"/>
            </w:pPr>
            <w:r>
              <w:rPr>
                <w:rFonts w:hint="eastAsia"/>
              </w:rPr>
              <w:t>数据库服务器</w:t>
            </w:r>
          </w:p>
        </w:tc>
        <w:tc>
          <w:tcPr>
            <w:tcW w:w="866" w:type="dxa"/>
            <w:noWrap/>
            <w:vAlign w:val="center"/>
          </w:tcPr>
          <w:p>
            <w:pPr>
              <w:pStyle w:val="28"/>
            </w:pPr>
            <w:r>
              <w:rPr>
                <w:rFonts w:hint="eastAsia"/>
              </w:rPr>
              <w:t>1</w:t>
            </w:r>
          </w:p>
        </w:tc>
        <w:tc>
          <w:tcPr>
            <w:tcW w:w="866" w:type="dxa"/>
            <w:noWrap/>
            <w:vAlign w:val="center"/>
          </w:tcPr>
          <w:p>
            <w:pPr>
              <w:pStyle w:val="28"/>
            </w:pPr>
            <w:r>
              <w:rPr>
                <w:rFonts w:hint="eastAsia"/>
              </w:rPr>
              <w:t>个/年</w:t>
            </w:r>
          </w:p>
        </w:tc>
        <w:tc>
          <w:tcPr>
            <w:tcW w:w="4168" w:type="dxa"/>
            <w:vAlign w:val="center"/>
          </w:tcPr>
          <w:p>
            <w:pPr>
              <w:pStyle w:val="28"/>
            </w:pPr>
            <w:r>
              <w:rPr>
                <w:rFonts w:hint="eastAsia"/>
              </w:rPr>
              <w:t>数据库服务器：16核64G | 系统盘：256G | 带宽：10M | 数据盘：2T | 带宽：10M | MySQL数据库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04" w:type="dxa"/>
            <w:noWrap/>
            <w:vAlign w:val="center"/>
          </w:tcPr>
          <w:p>
            <w:pPr>
              <w:pStyle w:val="28"/>
            </w:pPr>
            <w:r>
              <w:rPr>
                <w:rFonts w:hint="eastAsia"/>
              </w:rPr>
              <w:t>3</w:t>
            </w:r>
          </w:p>
        </w:tc>
        <w:tc>
          <w:tcPr>
            <w:tcW w:w="1692" w:type="dxa"/>
            <w:noWrap/>
            <w:vAlign w:val="center"/>
          </w:tcPr>
          <w:p>
            <w:pPr>
              <w:pStyle w:val="28"/>
            </w:pPr>
            <w:r>
              <w:rPr>
                <w:rFonts w:hint="eastAsia"/>
              </w:rPr>
              <w:t>云安全</w:t>
            </w:r>
          </w:p>
        </w:tc>
        <w:tc>
          <w:tcPr>
            <w:tcW w:w="866" w:type="dxa"/>
            <w:noWrap/>
            <w:vAlign w:val="center"/>
          </w:tcPr>
          <w:p>
            <w:pPr>
              <w:pStyle w:val="28"/>
            </w:pPr>
            <w:r>
              <w:rPr>
                <w:rFonts w:hint="eastAsia"/>
              </w:rPr>
              <w:t>1</w:t>
            </w:r>
          </w:p>
        </w:tc>
        <w:tc>
          <w:tcPr>
            <w:tcW w:w="866" w:type="dxa"/>
            <w:noWrap/>
            <w:vAlign w:val="center"/>
          </w:tcPr>
          <w:p>
            <w:pPr>
              <w:pStyle w:val="28"/>
            </w:pPr>
            <w:r>
              <w:rPr>
                <w:rFonts w:hint="eastAsia"/>
              </w:rPr>
              <w:t>项/年</w:t>
            </w:r>
          </w:p>
        </w:tc>
        <w:tc>
          <w:tcPr>
            <w:tcW w:w="4168" w:type="dxa"/>
            <w:vAlign w:val="center"/>
          </w:tcPr>
          <w:p>
            <w:pPr>
              <w:pStyle w:val="28"/>
            </w:pPr>
            <w:r>
              <w:rPr>
                <w:rFonts w:hint="eastAsia"/>
              </w:rPr>
              <w:t>（1）WEB应用防火墙、DDoS防护、云主机安全、态势感知、云堡垒机、数据库审计、防火墙。</w:t>
            </w:r>
            <w:r>
              <w:rPr>
                <w:rFonts w:hint="eastAsia"/>
              </w:rPr>
              <w:br w:type="textWrapping"/>
            </w:r>
            <w:r>
              <w:rPr>
                <w:rFonts w:hint="eastAsia"/>
              </w:rPr>
              <w:t>（2）云资源的安全性满足等保2.0三级</w:t>
            </w:r>
          </w:p>
        </w:tc>
      </w:tr>
    </w:tbl>
    <w:p/>
    <w:p>
      <w:pPr>
        <w:pStyle w:val="3"/>
      </w:pPr>
      <w:r>
        <w:rPr>
          <w:rFonts w:hint="eastAsia"/>
        </w:rPr>
        <w:t>中控室</w:t>
      </w:r>
    </w:p>
    <w:p>
      <w:pPr>
        <w:ind w:firstLine="480"/>
      </w:pPr>
      <w:r>
        <w:rPr>
          <w:rFonts w:hint="eastAsia"/>
        </w:rPr>
        <w:t>药融园智慧安监平台拟建设在园区的总控制室大楼的二楼。</w:t>
      </w:r>
    </w:p>
    <w:p>
      <w:pPr>
        <w:ind w:firstLine="482"/>
        <w:rPr>
          <w:b/>
          <w:bCs/>
        </w:rPr>
      </w:pPr>
      <w:r>
        <w:rPr>
          <w:rFonts w:hint="eastAsia"/>
          <w:b/>
          <w:bCs/>
        </w:rPr>
        <w:t>1、</w:t>
      </w:r>
      <w:r>
        <w:rPr>
          <w:b/>
          <w:bCs/>
        </w:rPr>
        <w:t>建设高清</w:t>
      </w:r>
      <w:r>
        <w:rPr>
          <w:rFonts w:hint="eastAsia"/>
          <w:b/>
          <w:bCs/>
        </w:rPr>
        <w:t>拼接屏系统</w:t>
      </w:r>
    </w:p>
    <w:p>
      <w:pPr>
        <w:ind w:firstLine="480"/>
      </w:pPr>
      <w:r>
        <w:t>高清大屏建议采用</w:t>
      </w:r>
      <w:r>
        <w:rPr>
          <w:rFonts w:hint="eastAsia"/>
        </w:rPr>
        <w:t>21</w:t>
      </w:r>
      <w:r>
        <w:t>块（3</w:t>
      </w:r>
      <w:r>
        <w:rPr/>
        <w:sym w:font="Wingdings 2" w:char="F0CD"/>
      </w:r>
      <w:r>
        <w:rPr>
          <w:rFonts w:hint="eastAsia"/>
        </w:rPr>
        <w:t>7</w:t>
      </w:r>
      <w:r>
        <w:t>）55寸LCD</w:t>
      </w:r>
      <w:r>
        <w:rPr>
          <w:rFonts w:hint="eastAsia"/>
        </w:rPr>
        <w:t>窄边</w:t>
      </w:r>
      <w:r>
        <w:t>高清屏拼接而成，拼接后，整屏幕呈微曲面，拼接缝隙不超过3.5毫米，显示亮度不低于450cd/</w:t>
      </w:r>
      <w:r>
        <w:rPr>
          <w:rFonts w:hint="eastAsia" w:ascii="Segoe UI Symbol" w:hAnsi="Segoe UI Symbol" w:eastAsia="Segoe UI Symbol" w:cs="Segoe UI Symbol"/>
        </w:rPr>
        <w:t>㎡</w:t>
      </w:r>
      <w:r>
        <w:rPr>
          <w:rFonts w:hint="eastAsia" w:ascii="仿宋_GB2312" w:hAnsi="仿宋_GB2312" w:cs="仿宋_GB2312"/>
        </w:rPr>
        <w:t>，对比度不低于</w:t>
      </w:r>
      <w:r>
        <w:t>4500：1。支持全屏显示、单屏显示、组合显示、单屏可分割，并能实现任意切换。支持不少于16路信号输入、不少于16路信号输出，具备可扩展功能。支持HDMI、RS232等多种通讯接口，方便与电脑、其他远端控制设备配合使用。配套拼接控制系统、音响控制系统。</w:t>
      </w:r>
    </w:p>
    <w:p>
      <w:pPr>
        <w:ind w:firstLine="482"/>
        <w:rPr>
          <w:b/>
          <w:bCs/>
        </w:rPr>
      </w:pPr>
      <w:r>
        <w:rPr>
          <w:rFonts w:hint="eastAsia"/>
          <w:b/>
          <w:bCs/>
        </w:rPr>
        <w:t>2、建设值守中心及嘉宾观看区</w:t>
      </w:r>
    </w:p>
    <w:p>
      <w:pPr>
        <w:ind w:firstLine="480"/>
      </w:pPr>
      <w:r>
        <w:t>值守区提供4个工位、4台值守电脑及附属配套设施。值守操作台预留走线孔、散热孔，前门和后门拆卸方便，便于安装和检修。具有承重能力强、结构稳固等特性。</w:t>
      </w:r>
    </w:p>
    <w:p>
      <w:pPr>
        <w:ind w:firstLine="480"/>
      </w:pPr>
      <w:r>
        <w:t>嘉宾观看区拟采用会议桌分布，会议桌尺寸约</w:t>
      </w:r>
      <w:r>
        <w:rPr>
          <w:rFonts w:hint="eastAsia"/>
        </w:rPr>
        <w:t>50</w:t>
      </w:r>
      <w:r>
        <w:t>00×1</w:t>
      </w:r>
      <w:r>
        <w:rPr>
          <w:rFonts w:hint="eastAsia"/>
        </w:rPr>
        <w:t>7</w:t>
      </w:r>
      <w:r>
        <w:t>00，配备</w:t>
      </w:r>
      <w:r>
        <w:rPr>
          <w:rFonts w:hint="eastAsia"/>
        </w:rPr>
        <w:t>18</w:t>
      </w:r>
      <w:r>
        <w:t>张会议椅，观众席按照“简约、舒适、便捷”等人性化角度考虑配备，其颜色与展示中心的基本色调保持协调一致。</w:t>
      </w:r>
    </w:p>
    <w:p>
      <w:pPr>
        <w:pStyle w:val="27"/>
        <w:spacing w:before="217"/>
        <w:ind w:left="188" w:hanging="188"/>
      </w:pPr>
      <w:r>
        <w:rPr>
          <w:rFonts w:hint="eastAsia"/>
        </w:rPr>
        <w:t>中控室硬件设备清单</w:t>
      </w:r>
    </w:p>
    <w:tbl>
      <w:tblPr>
        <w:tblStyle w:val="14"/>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664"/>
        <w:gridCol w:w="4892"/>
        <w:gridCol w:w="591"/>
        <w:gridCol w:w="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30" w:type="dxa"/>
            <w:vAlign w:val="center"/>
          </w:tcPr>
          <w:p>
            <w:pPr>
              <w:pStyle w:val="28"/>
              <w:rPr>
                <w:b/>
                <w:bCs/>
              </w:rPr>
            </w:pPr>
            <w:r>
              <w:rPr>
                <w:rFonts w:hint="eastAsia"/>
                <w:b/>
                <w:bCs/>
              </w:rPr>
              <w:t>序号</w:t>
            </w:r>
          </w:p>
        </w:tc>
        <w:tc>
          <w:tcPr>
            <w:tcW w:w="1664" w:type="dxa"/>
            <w:vAlign w:val="center"/>
          </w:tcPr>
          <w:p>
            <w:pPr>
              <w:pStyle w:val="28"/>
              <w:rPr>
                <w:b/>
                <w:bCs/>
              </w:rPr>
            </w:pPr>
            <w:r>
              <w:rPr>
                <w:rFonts w:hint="eastAsia"/>
                <w:b/>
                <w:bCs/>
              </w:rPr>
              <w:t>名称</w:t>
            </w:r>
          </w:p>
        </w:tc>
        <w:tc>
          <w:tcPr>
            <w:tcW w:w="4892" w:type="dxa"/>
            <w:vAlign w:val="center"/>
          </w:tcPr>
          <w:p>
            <w:pPr>
              <w:pStyle w:val="28"/>
              <w:rPr>
                <w:b/>
                <w:bCs/>
              </w:rPr>
            </w:pPr>
            <w:r>
              <w:rPr>
                <w:rFonts w:hint="eastAsia"/>
                <w:b/>
                <w:bCs/>
              </w:rPr>
              <w:t>技术规格</w:t>
            </w:r>
          </w:p>
        </w:tc>
        <w:tc>
          <w:tcPr>
            <w:tcW w:w="591" w:type="dxa"/>
            <w:vAlign w:val="center"/>
          </w:tcPr>
          <w:p>
            <w:pPr>
              <w:pStyle w:val="28"/>
              <w:rPr>
                <w:b/>
                <w:bCs/>
              </w:rPr>
            </w:pPr>
            <w:r>
              <w:rPr>
                <w:rFonts w:hint="eastAsia"/>
                <w:b/>
                <w:bCs/>
              </w:rPr>
              <w:t>单位</w:t>
            </w:r>
          </w:p>
        </w:tc>
        <w:tc>
          <w:tcPr>
            <w:tcW w:w="619" w:type="dxa"/>
            <w:vAlign w:val="center"/>
          </w:tcPr>
          <w:p>
            <w:pPr>
              <w:pStyle w:val="28"/>
              <w:rPr>
                <w:b/>
                <w:bCs/>
              </w:rPr>
            </w:pPr>
            <w:r>
              <w:rPr>
                <w:rFonts w:hint="eastAsia"/>
                <w:b/>
                <w:bCs/>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30" w:type="dxa"/>
            <w:vAlign w:val="center"/>
          </w:tcPr>
          <w:p>
            <w:pPr>
              <w:pStyle w:val="28"/>
            </w:pPr>
            <w:r>
              <w:rPr>
                <w:rFonts w:hint="eastAsia"/>
              </w:rPr>
              <w:t>1</w:t>
            </w:r>
          </w:p>
        </w:tc>
        <w:tc>
          <w:tcPr>
            <w:tcW w:w="1664" w:type="dxa"/>
            <w:vAlign w:val="center"/>
          </w:tcPr>
          <w:p>
            <w:pPr>
              <w:pStyle w:val="28"/>
            </w:pPr>
            <w:r>
              <w:rPr>
                <w:rFonts w:hint="eastAsia"/>
              </w:rPr>
              <w:t>55寸超窄边拼接屏</w:t>
            </w:r>
          </w:p>
        </w:tc>
        <w:tc>
          <w:tcPr>
            <w:tcW w:w="4892" w:type="dxa"/>
            <w:vAlign w:val="center"/>
          </w:tcPr>
          <w:p>
            <w:pPr>
              <w:pStyle w:val="28"/>
            </w:pPr>
            <w:r>
              <w:rPr>
                <w:rFonts w:hint="eastAsia"/>
              </w:rPr>
              <w:t>55寸液晶拼接屏1920x1080/450cd/LED背光源/物理拼缝≤3.5毫米,IPS视角（水平/垂直）178°，弧形拼接</w:t>
            </w:r>
          </w:p>
        </w:tc>
        <w:tc>
          <w:tcPr>
            <w:tcW w:w="591" w:type="dxa"/>
            <w:vAlign w:val="center"/>
          </w:tcPr>
          <w:p>
            <w:pPr>
              <w:pStyle w:val="28"/>
            </w:pPr>
            <w:r>
              <w:rPr>
                <w:rFonts w:hint="eastAsia"/>
              </w:rPr>
              <w:t>块</w:t>
            </w:r>
          </w:p>
        </w:tc>
        <w:tc>
          <w:tcPr>
            <w:tcW w:w="619" w:type="dxa"/>
            <w:vAlign w:val="center"/>
          </w:tcPr>
          <w:p>
            <w:pPr>
              <w:pStyle w:val="28"/>
            </w:pPr>
            <w:r>
              <w:rPr>
                <w:rFonts w:hint="eastAsia"/>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30" w:type="dxa"/>
            <w:vAlign w:val="center"/>
          </w:tcPr>
          <w:p>
            <w:pPr>
              <w:pStyle w:val="28"/>
            </w:pPr>
            <w:r>
              <w:rPr>
                <w:rFonts w:hint="eastAsia"/>
              </w:rPr>
              <w:t>2</w:t>
            </w:r>
          </w:p>
        </w:tc>
        <w:tc>
          <w:tcPr>
            <w:tcW w:w="1664" w:type="dxa"/>
            <w:vAlign w:val="center"/>
          </w:tcPr>
          <w:p>
            <w:pPr>
              <w:pStyle w:val="28"/>
            </w:pPr>
            <w:r>
              <w:rPr>
                <w:rFonts w:hint="eastAsia"/>
              </w:rPr>
              <w:t>拼接屏支架</w:t>
            </w:r>
          </w:p>
        </w:tc>
        <w:tc>
          <w:tcPr>
            <w:tcW w:w="4892" w:type="dxa"/>
            <w:vAlign w:val="center"/>
          </w:tcPr>
          <w:p>
            <w:pPr>
              <w:pStyle w:val="28"/>
            </w:pPr>
            <w:r>
              <w:rPr>
                <w:rFonts w:hint="eastAsia"/>
              </w:rPr>
              <w:t>拼接大屏配套支架，含龙骨、包边等</w:t>
            </w:r>
          </w:p>
        </w:tc>
        <w:tc>
          <w:tcPr>
            <w:tcW w:w="591" w:type="dxa"/>
            <w:vAlign w:val="center"/>
          </w:tcPr>
          <w:p>
            <w:pPr>
              <w:pStyle w:val="28"/>
            </w:pPr>
            <w:r>
              <w:rPr>
                <w:rFonts w:hint="eastAsia"/>
              </w:rPr>
              <w:t>项</w:t>
            </w:r>
          </w:p>
        </w:tc>
        <w:tc>
          <w:tcPr>
            <w:tcW w:w="619" w:type="dxa"/>
            <w:vAlign w:val="center"/>
          </w:tcPr>
          <w:p>
            <w:pPr>
              <w:pStyle w:val="28"/>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30" w:type="dxa"/>
            <w:vAlign w:val="center"/>
          </w:tcPr>
          <w:p>
            <w:pPr>
              <w:pStyle w:val="28"/>
            </w:pPr>
            <w:r>
              <w:rPr>
                <w:rFonts w:hint="eastAsia"/>
              </w:rPr>
              <w:t>3</w:t>
            </w:r>
          </w:p>
        </w:tc>
        <w:tc>
          <w:tcPr>
            <w:tcW w:w="1664" w:type="dxa"/>
            <w:vAlign w:val="center"/>
          </w:tcPr>
          <w:p>
            <w:pPr>
              <w:pStyle w:val="28"/>
            </w:pPr>
            <w:r>
              <w:rPr>
                <w:rFonts w:hint="eastAsia"/>
              </w:rPr>
              <w:t>拼接控制器</w:t>
            </w:r>
          </w:p>
        </w:tc>
        <w:tc>
          <w:tcPr>
            <w:tcW w:w="4892" w:type="dxa"/>
            <w:vAlign w:val="center"/>
          </w:tcPr>
          <w:p>
            <w:pPr>
              <w:pStyle w:val="28"/>
            </w:pPr>
            <w:r>
              <w:rPr>
                <w:rFonts w:hint="eastAsia"/>
              </w:rPr>
              <w:t>4U切换主箱体，支持输入输出混插。标配1个电源板卡.FPGA+DSP架构，高速数字视频处理、内置时钟同步；采用最新高速背板互连技术及图像处理技术，每一路输入输出视频独享8Gbps视频带宽，完美支持各类高清晰数字/模拟视频信号之间的叠加、漫游、开窗等复杂视频图像处理板卡</w:t>
            </w:r>
          </w:p>
        </w:tc>
        <w:tc>
          <w:tcPr>
            <w:tcW w:w="591" w:type="dxa"/>
            <w:vAlign w:val="center"/>
          </w:tcPr>
          <w:p>
            <w:pPr>
              <w:pStyle w:val="28"/>
            </w:pPr>
            <w:r>
              <w:rPr>
                <w:rFonts w:hint="eastAsia"/>
              </w:rPr>
              <w:t>台</w:t>
            </w:r>
          </w:p>
        </w:tc>
        <w:tc>
          <w:tcPr>
            <w:tcW w:w="619" w:type="dxa"/>
            <w:vAlign w:val="center"/>
          </w:tcPr>
          <w:p>
            <w:pPr>
              <w:pStyle w:val="28"/>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30" w:type="dxa"/>
            <w:vAlign w:val="center"/>
          </w:tcPr>
          <w:p>
            <w:pPr>
              <w:pStyle w:val="28"/>
            </w:pPr>
            <w:r>
              <w:rPr>
                <w:rFonts w:hint="eastAsia"/>
              </w:rPr>
              <w:t>4</w:t>
            </w:r>
          </w:p>
        </w:tc>
        <w:tc>
          <w:tcPr>
            <w:tcW w:w="1664" w:type="dxa"/>
            <w:vAlign w:val="center"/>
          </w:tcPr>
          <w:p>
            <w:pPr>
              <w:pStyle w:val="28"/>
            </w:pPr>
            <w:r>
              <w:rPr>
                <w:rFonts w:hint="eastAsia"/>
              </w:rPr>
              <w:t>高清线</w:t>
            </w:r>
          </w:p>
        </w:tc>
        <w:tc>
          <w:tcPr>
            <w:tcW w:w="4892" w:type="dxa"/>
            <w:vAlign w:val="center"/>
          </w:tcPr>
          <w:p>
            <w:pPr>
              <w:pStyle w:val="28"/>
            </w:pPr>
            <w:r>
              <w:rPr>
                <w:rFonts w:hint="eastAsia"/>
              </w:rPr>
              <w:t>拼接大屏系统配套高清连接线，连接拼控器、拼接屏和电脑</w:t>
            </w:r>
          </w:p>
        </w:tc>
        <w:tc>
          <w:tcPr>
            <w:tcW w:w="591" w:type="dxa"/>
            <w:vAlign w:val="center"/>
          </w:tcPr>
          <w:p>
            <w:pPr>
              <w:pStyle w:val="28"/>
            </w:pPr>
            <w:r>
              <w:rPr>
                <w:rFonts w:hint="eastAsia"/>
              </w:rPr>
              <w:t>条</w:t>
            </w:r>
          </w:p>
        </w:tc>
        <w:tc>
          <w:tcPr>
            <w:tcW w:w="619" w:type="dxa"/>
            <w:vAlign w:val="center"/>
          </w:tcPr>
          <w:p>
            <w:pPr>
              <w:pStyle w:val="28"/>
            </w:pPr>
            <w:r>
              <w:rPr>
                <w:rFonts w:hint="eastAsia"/>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30" w:type="dxa"/>
            <w:vAlign w:val="center"/>
          </w:tcPr>
          <w:p>
            <w:pPr>
              <w:pStyle w:val="28"/>
            </w:pPr>
            <w:r>
              <w:rPr>
                <w:rFonts w:hint="eastAsia"/>
              </w:rPr>
              <w:t>5</w:t>
            </w:r>
          </w:p>
        </w:tc>
        <w:tc>
          <w:tcPr>
            <w:tcW w:w="1664" w:type="dxa"/>
            <w:vAlign w:val="center"/>
          </w:tcPr>
          <w:p>
            <w:pPr>
              <w:pStyle w:val="28"/>
            </w:pPr>
            <w:r>
              <w:rPr>
                <w:rFonts w:hint="eastAsia"/>
              </w:rPr>
              <w:t>安装调试</w:t>
            </w:r>
          </w:p>
        </w:tc>
        <w:tc>
          <w:tcPr>
            <w:tcW w:w="4892" w:type="dxa"/>
            <w:vAlign w:val="center"/>
          </w:tcPr>
          <w:p>
            <w:pPr>
              <w:pStyle w:val="28"/>
            </w:pPr>
            <w:r>
              <w:rPr>
                <w:rFonts w:hint="eastAsia"/>
              </w:rPr>
              <w:t>拼接大屏系统的安装调试费用</w:t>
            </w:r>
          </w:p>
        </w:tc>
        <w:tc>
          <w:tcPr>
            <w:tcW w:w="591" w:type="dxa"/>
            <w:vAlign w:val="center"/>
          </w:tcPr>
          <w:p>
            <w:pPr>
              <w:pStyle w:val="28"/>
            </w:pPr>
            <w:r>
              <w:rPr>
                <w:rFonts w:hint="eastAsia"/>
              </w:rPr>
              <w:t>项</w:t>
            </w:r>
          </w:p>
        </w:tc>
        <w:tc>
          <w:tcPr>
            <w:tcW w:w="619" w:type="dxa"/>
            <w:vAlign w:val="center"/>
          </w:tcPr>
          <w:p>
            <w:pPr>
              <w:pStyle w:val="28"/>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30" w:type="dxa"/>
            <w:vAlign w:val="center"/>
          </w:tcPr>
          <w:p>
            <w:pPr>
              <w:pStyle w:val="28"/>
            </w:pPr>
            <w:r>
              <w:rPr>
                <w:rFonts w:hint="eastAsia"/>
              </w:rPr>
              <w:t>6</w:t>
            </w:r>
          </w:p>
        </w:tc>
        <w:tc>
          <w:tcPr>
            <w:tcW w:w="1664" w:type="dxa"/>
            <w:vAlign w:val="center"/>
          </w:tcPr>
          <w:p>
            <w:pPr>
              <w:pStyle w:val="28"/>
            </w:pPr>
            <w:r>
              <w:rPr>
                <w:rFonts w:hint="eastAsia"/>
              </w:rPr>
              <w:t>值守电脑</w:t>
            </w:r>
          </w:p>
        </w:tc>
        <w:tc>
          <w:tcPr>
            <w:tcW w:w="4892" w:type="dxa"/>
            <w:vAlign w:val="center"/>
          </w:tcPr>
          <w:p>
            <w:pPr>
              <w:pStyle w:val="28"/>
            </w:pPr>
            <w:r>
              <w:rPr>
                <w:rFonts w:hint="eastAsia"/>
              </w:rPr>
              <w:t>i5-10505/8G/M.2 128GNVME +1TB/AMD R5-230 2G/23.8寸显示器/Win7/260W/无线网卡/</w:t>
            </w:r>
          </w:p>
        </w:tc>
        <w:tc>
          <w:tcPr>
            <w:tcW w:w="591" w:type="dxa"/>
            <w:vAlign w:val="center"/>
          </w:tcPr>
          <w:p>
            <w:pPr>
              <w:pStyle w:val="28"/>
            </w:pPr>
            <w:r>
              <w:rPr>
                <w:rFonts w:hint="eastAsia"/>
              </w:rPr>
              <w:t>台</w:t>
            </w:r>
          </w:p>
        </w:tc>
        <w:tc>
          <w:tcPr>
            <w:tcW w:w="619" w:type="dxa"/>
            <w:vAlign w:val="center"/>
          </w:tcPr>
          <w:p>
            <w:pPr>
              <w:pStyle w:val="28"/>
            </w:pPr>
            <w:r>
              <w:rPr>
                <w:rFonts w:hint="eastAsi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30" w:type="dxa"/>
            <w:vAlign w:val="center"/>
          </w:tcPr>
          <w:p>
            <w:pPr>
              <w:pStyle w:val="28"/>
            </w:pPr>
            <w:r>
              <w:rPr>
                <w:rFonts w:hint="eastAsia"/>
              </w:rPr>
              <w:t>7</w:t>
            </w:r>
          </w:p>
        </w:tc>
        <w:tc>
          <w:tcPr>
            <w:tcW w:w="1664" w:type="dxa"/>
            <w:vAlign w:val="center"/>
          </w:tcPr>
          <w:p>
            <w:pPr>
              <w:pStyle w:val="28"/>
            </w:pPr>
            <w:r>
              <w:rPr>
                <w:rFonts w:hint="eastAsia"/>
              </w:rPr>
              <w:t>值守桌椅</w:t>
            </w:r>
          </w:p>
        </w:tc>
        <w:tc>
          <w:tcPr>
            <w:tcW w:w="4892" w:type="dxa"/>
            <w:vAlign w:val="center"/>
          </w:tcPr>
          <w:p>
            <w:pPr>
              <w:pStyle w:val="28"/>
            </w:pPr>
            <w:r>
              <w:rPr>
                <w:rFonts w:hint="eastAsia"/>
              </w:rPr>
              <w:t>定制操作台尺寸：1200*900*750mm、椅子尺寸：550*550*550,网布升降扶手钢制脚可后仰</w:t>
            </w:r>
          </w:p>
        </w:tc>
        <w:tc>
          <w:tcPr>
            <w:tcW w:w="591" w:type="dxa"/>
            <w:vAlign w:val="center"/>
          </w:tcPr>
          <w:p>
            <w:pPr>
              <w:pStyle w:val="28"/>
            </w:pPr>
            <w:r>
              <w:rPr>
                <w:rFonts w:hint="eastAsia"/>
              </w:rPr>
              <w:t>套</w:t>
            </w:r>
          </w:p>
        </w:tc>
        <w:tc>
          <w:tcPr>
            <w:tcW w:w="619" w:type="dxa"/>
            <w:vAlign w:val="center"/>
          </w:tcPr>
          <w:p>
            <w:pPr>
              <w:pStyle w:val="28"/>
            </w:pPr>
            <w:r>
              <w:rPr>
                <w:rFonts w:hint="eastAsia"/>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30" w:type="dxa"/>
            <w:vAlign w:val="center"/>
          </w:tcPr>
          <w:p>
            <w:pPr>
              <w:pStyle w:val="28"/>
            </w:pPr>
            <w:r>
              <w:rPr>
                <w:rFonts w:hint="eastAsia"/>
              </w:rPr>
              <w:t>8</w:t>
            </w:r>
          </w:p>
        </w:tc>
        <w:tc>
          <w:tcPr>
            <w:tcW w:w="1664" w:type="dxa"/>
            <w:vAlign w:val="center"/>
          </w:tcPr>
          <w:p>
            <w:pPr>
              <w:pStyle w:val="28"/>
            </w:pPr>
            <w:r>
              <w:rPr>
                <w:rFonts w:hint="eastAsia"/>
              </w:rPr>
              <w:t>会议研判桌椅</w:t>
            </w:r>
          </w:p>
        </w:tc>
        <w:tc>
          <w:tcPr>
            <w:tcW w:w="4892" w:type="dxa"/>
            <w:vAlign w:val="center"/>
          </w:tcPr>
          <w:p>
            <w:pPr>
              <w:pStyle w:val="28"/>
            </w:pPr>
            <w:r>
              <w:rPr>
                <w:rFonts w:hint="eastAsia"/>
              </w:rPr>
              <w:t>定制会议研判桌尺寸：5000*1700*750mm、配18把椅子</w:t>
            </w:r>
          </w:p>
        </w:tc>
        <w:tc>
          <w:tcPr>
            <w:tcW w:w="591" w:type="dxa"/>
            <w:vAlign w:val="center"/>
          </w:tcPr>
          <w:p>
            <w:pPr>
              <w:pStyle w:val="28"/>
            </w:pPr>
            <w:r>
              <w:rPr>
                <w:rFonts w:hint="eastAsia"/>
              </w:rPr>
              <w:t>套</w:t>
            </w:r>
          </w:p>
        </w:tc>
        <w:tc>
          <w:tcPr>
            <w:tcW w:w="619" w:type="dxa"/>
            <w:vAlign w:val="center"/>
          </w:tcPr>
          <w:p>
            <w:pPr>
              <w:pStyle w:val="28"/>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30" w:type="dxa"/>
            <w:vAlign w:val="center"/>
          </w:tcPr>
          <w:p>
            <w:pPr>
              <w:pStyle w:val="28"/>
            </w:pPr>
            <w:r>
              <w:rPr>
                <w:rFonts w:hint="eastAsia"/>
              </w:rPr>
              <w:t>9</w:t>
            </w:r>
          </w:p>
        </w:tc>
        <w:tc>
          <w:tcPr>
            <w:tcW w:w="1664" w:type="dxa"/>
            <w:vAlign w:val="center"/>
          </w:tcPr>
          <w:p>
            <w:pPr>
              <w:pStyle w:val="28"/>
            </w:pPr>
            <w:r>
              <w:rPr>
                <w:rFonts w:hint="eastAsia"/>
              </w:rPr>
              <w:t>全频壁挂式音箱</w:t>
            </w:r>
          </w:p>
        </w:tc>
        <w:tc>
          <w:tcPr>
            <w:tcW w:w="4892" w:type="dxa"/>
            <w:vAlign w:val="center"/>
          </w:tcPr>
          <w:p>
            <w:pPr>
              <w:pStyle w:val="28"/>
            </w:pPr>
            <w:r>
              <w:rPr>
                <w:rFonts w:hint="eastAsia"/>
              </w:rPr>
              <w:t>箱体采用大斑点水性油漆喷涂处理技术，前面采用有孔金属网背贴声学透声棉；单元结构LF:10"低音×1，HF:1"高音×1；频响范围(±3dB)：48 Hz -18,000Hz；灵敏度（折算到1m，1W）：96dB±2dB；最大声压级：119dB；输入阻抗8Ω；额定功率250W；指向性（H×V）90°H×40°V。含音箱支架</w:t>
            </w:r>
          </w:p>
        </w:tc>
        <w:tc>
          <w:tcPr>
            <w:tcW w:w="591" w:type="dxa"/>
            <w:vAlign w:val="center"/>
          </w:tcPr>
          <w:p>
            <w:pPr>
              <w:pStyle w:val="28"/>
            </w:pPr>
            <w:r>
              <w:rPr>
                <w:rFonts w:hint="eastAsia"/>
              </w:rPr>
              <w:t>只</w:t>
            </w:r>
          </w:p>
        </w:tc>
        <w:tc>
          <w:tcPr>
            <w:tcW w:w="619" w:type="dxa"/>
            <w:vAlign w:val="center"/>
          </w:tcPr>
          <w:p>
            <w:pPr>
              <w:pStyle w:val="28"/>
            </w:pPr>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30" w:type="dxa"/>
            <w:vAlign w:val="center"/>
          </w:tcPr>
          <w:p>
            <w:pPr>
              <w:pStyle w:val="28"/>
            </w:pPr>
            <w:r>
              <w:rPr>
                <w:rFonts w:hint="eastAsia"/>
              </w:rPr>
              <w:t>10</w:t>
            </w:r>
          </w:p>
        </w:tc>
        <w:tc>
          <w:tcPr>
            <w:tcW w:w="1664" w:type="dxa"/>
            <w:vAlign w:val="center"/>
          </w:tcPr>
          <w:p>
            <w:pPr>
              <w:pStyle w:val="28"/>
            </w:pPr>
            <w:r>
              <w:rPr>
                <w:rFonts w:hint="eastAsia"/>
              </w:rPr>
              <w:t>多路调音台</w:t>
            </w:r>
          </w:p>
        </w:tc>
        <w:tc>
          <w:tcPr>
            <w:tcW w:w="4892" w:type="dxa"/>
            <w:vAlign w:val="center"/>
          </w:tcPr>
          <w:p>
            <w:pPr>
              <w:pStyle w:val="28"/>
            </w:pPr>
            <w:r>
              <w:rPr>
                <w:rFonts w:hint="eastAsia"/>
              </w:rPr>
              <w:t>1、6路XLR平衡单声道输入+2路立体声输入。2、每通道3段均衡调节，MUTE静音开关，PFL耳机开关，平滑60MM行程推子器。3、2编组输出+2组AUX输出（包括FX)。4、1组返回，1组监听耳机输出。5、内置48V幻象电源供电。6、24种DSP数字效果器。7、内置USB音频播放MP3。8、USB录音、也可连电脑播放音乐。9、内置蓝牙接收模块。10、LED大显示屏清淅显示播放状态。11、十段三色电平灯显示信号状态。12、XLR平衡输入话放噪声极低，超低噪音线路设计，动态余量大。13、适用全球供电电压功率30瓦；使用灵活</w:t>
            </w:r>
          </w:p>
        </w:tc>
        <w:tc>
          <w:tcPr>
            <w:tcW w:w="591" w:type="dxa"/>
            <w:vAlign w:val="center"/>
          </w:tcPr>
          <w:p>
            <w:pPr>
              <w:pStyle w:val="28"/>
            </w:pPr>
            <w:r>
              <w:rPr>
                <w:rFonts w:hint="eastAsia"/>
              </w:rPr>
              <w:t>台</w:t>
            </w:r>
          </w:p>
        </w:tc>
        <w:tc>
          <w:tcPr>
            <w:tcW w:w="619" w:type="dxa"/>
            <w:vAlign w:val="center"/>
          </w:tcPr>
          <w:p>
            <w:pPr>
              <w:pStyle w:val="28"/>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30" w:type="dxa"/>
            <w:vAlign w:val="center"/>
          </w:tcPr>
          <w:p>
            <w:pPr>
              <w:pStyle w:val="28"/>
            </w:pPr>
            <w:r>
              <w:rPr>
                <w:rFonts w:hint="eastAsia"/>
              </w:rPr>
              <w:t>11</w:t>
            </w:r>
          </w:p>
        </w:tc>
        <w:tc>
          <w:tcPr>
            <w:tcW w:w="1664" w:type="dxa"/>
            <w:vAlign w:val="center"/>
          </w:tcPr>
          <w:p>
            <w:pPr>
              <w:pStyle w:val="28"/>
            </w:pPr>
            <w:r>
              <w:rPr>
                <w:rFonts w:hint="eastAsia"/>
              </w:rPr>
              <w:t>音频处理器</w:t>
            </w:r>
          </w:p>
        </w:tc>
        <w:tc>
          <w:tcPr>
            <w:tcW w:w="4892" w:type="dxa"/>
            <w:vAlign w:val="center"/>
          </w:tcPr>
          <w:p>
            <w:pPr>
              <w:pStyle w:val="28"/>
            </w:pPr>
            <w:r>
              <w:rPr>
                <w:rFonts w:hint="eastAsia"/>
              </w:rPr>
              <w:t>1.支持汉字液晶屏蓝色背光显示功能，支持≥6 段 LED 显示输入和输出的精确数字电平表、哑音及编辑状态；</w:t>
            </w:r>
            <w:r>
              <w:rPr>
                <w:rFonts w:hint="eastAsia"/>
              </w:rPr>
              <w:br w:type="textWrapping"/>
            </w:r>
            <w:r>
              <w:rPr>
                <w:rFonts w:hint="eastAsia"/>
              </w:rPr>
              <w:t>2.支持 96KHz 采样频率，内置 32-bitDSP 处理器，支持24-bitA/D 及 D/A 转换；</w:t>
            </w:r>
            <w:r>
              <w:rPr>
                <w:rFonts w:hint="eastAsia"/>
              </w:rPr>
              <w:br w:type="textWrapping"/>
            </w:r>
            <w:r>
              <w:rPr>
                <w:rFonts w:hint="eastAsia"/>
              </w:rPr>
              <w:t>3.支持≥2 路可选音频信号输入，≥1 路光纤信号输入，≥1 路同轴信号输入，≥6 路音频信号输出，≥5 个话筒输入，每路输出支持光纤输出模式，可灵活组合多种分频模式，高、低通分频点均可达 20Hz～20KHz；</w:t>
            </w:r>
            <w:r>
              <w:rPr>
                <w:rFonts w:hint="eastAsia"/>
              </w:rPr>
              <w:br w:type="textWrapping"/>
            </w:r>
            <w:r>
              <w:rPr>
                <w:rFonts w:hint="eastAsia"/>
              </w:rPr>
              <w:t>4.支持光纤和同轴输入音乐信号，每路输出提供光纤输出模式；</w:t>
            </w:r>
            <w:r>
              <w:rPr>
                <w:rFonts w:hint="eastAsia"/>
              </w:rPr>
              <w:br w:type="textWrapping"/>
            </w:r>
            <w:r>
              <w:rPr>
                <w:rFonts w:hint="eastAsia"/>
              </w:rPr>
              <w:t>5.支持通过旋转面板的不同旋钮可分别控制话筒音量，效果音量，音乐音量和总音量；</w:t>
            </w:r>
            <w:r>
              <w:rPr>
                <w:rFonts w:hint="eastAsia"/>
              </w:rPr>
              <w:br w:type="textWrapping"/>
            </w:r>
            <w:r>
              <w:rPr>
                <w:rFonts w:hint="eastAsia"/>
              </w:rPr>
              <w:t>6.每个输入和输出均有延时和相位控制及哑音设置，输入延时≥30ms，输出延时≥60ms，效果自带三段参量均衡和一对高低通滤波器；</w:t>
            </w:r>
            <w:r>
              <w:rPr>
                <w:rFonts w:hint="eastAsia"/>
              </w:rPr>
              <w:br w:type="textWrapping"/>
            </w:r>
            <w:r>
              <w:rPr>
                <w:rFonts w:hint="eastAsia"/>
              </w:rPr>
              <w:t>7.输入通道支持调噪声门，输出通道支持控制增益、压限及选择输入通道信号，并支持将某通道的所有参数复制到另外一个通道并能进行联动控制；</w:t>
            </w:r>
            <w:r>
              <w:rPr>
                <w:rFonts w:hint="eastAsia"/>
              </w:rPr>
              <w:br w:type="textWrapping"/>
            </w:r>
            <w:r>
              <w:rPr>
                <w:rFonts w:hint="eastAsia"/>
              </w:rPr>
              <w:t>8.输出通道支持控制该通道的效果比例、话筒音量、音乐音量和效果音量；</w:t>
            </w:r>
            <w:r>
              <w:rPr>
                <w:rFonts w:hint="eastAsia"/>
              </w:rPr>
              <w:br w:type="textWrapping"/>
            </w:r>
            <w:r>
              <w:rPr>
                <w:rFonts w:hint="eastAsia"/>
              </w:rPr>
              <w:t>9.支持通过面板的功能键和拔轮进行功能设置，支持连接电脑通过 PC 控制软件来控制设备；</w:t>
            </w:r>
            <w:r>
              <w:rPr>
                <w:rFonts w:hint="eastAsia"/>
              </w:rPr>
              <w:br w:type="textWrapping"/>
            </w:r>
            <w:r>
              <w:rPr>
                <w:rFonts w:hint="eastAsia"/>
              </w:rPr>
              <w:t>10.为保证系统安全稳定运行需满足以下要求:总谐波失真：≤0.008%；增益限制的有效频率范围：10-32000Hz；信噪比：≥118dB；通道分离度：≥96dB。</w:t>
            </w:r>
          </w:p>
        </w:tc>
        <w:tc>
          <w:tcPr>
            <w:tcW w:w="591" w:type="dxa"/>
            <w:vAlign w:val="center"/>
          </w:tcPr>
          <w:p>
            <w:pPr>
              <w:pStyle w:val="28"/>
            </w:pPr>
            <w:r>
              <w:rPr>
                <w:rFonts w:hint="eastAsia"/>
              </w:rPr>
              <w:t>台</w:t>
            </w:r>
          </w:p>
        </w:tc>
        <w:tc>
          <w:tcPr>
            <w:tcW w:w="619" w:type="dxa"/>
            <w:vAlign w:val="center"/>
          </w:tcPr>
          <w:p>
            <w:pPr>
              <w:pStyle w:val="28"/>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30" w:type="dxa"/>
            <w:vAlign w:val="center"/>
          </w:tcPr>
          <w:p>
            <w:pPr>
              <w:pStyle w:val="28"/>
            </w:pPr>
            <w:r>
              <w:rPr>
                <w:rFonts w:hint="eastAsia"/>
              </w:rPr>
              <w:t>12</w:t>
            </w:r>
          </w:p>
        </w:tc>
        <w:tc>
          <w:tcPr>
            <w:tcW w:w="1664" w:type="dxa"/>
            <w:vAlign w:val="center"/>
          </w:tcPr>
          <w:p>
            <w:pPr>
              <w:pStyle w:val="28"/>
            </w:pPr>
            <w:r>
              <w:rPr>
                <w:rFonts w:hint="eastAsia"/>
              </w:rPr>
              <w:t>8路时序电源</w:t>
            </w:r>
          </w:p>
        </w:tc>
        <w:tc>
          <w:tcPr>
            <w:tcW w:w="4892" w:type="dxa"/>
            <w:vAlign w:val="center"/>
          </w:tcPr>
          <w:p>
            <w:pPr>
              <w:pStyle w:val="28"/>
            </w:pPr>
            <w:r>
              <w:rPr>
                <w:rFonts w:hint="eastAsia"/>
              </w:rPr>
              <w:t>独立的八路大功率电源输出，万能插座，可满足多种三极的电源插座，如国标插座、美标插座以及欧标插座等；还可满足二极欧式的圆头插座；</w:t>
            </w:r>
          </w:p>
        </w:tc>
        <w:tc>
          <w:tcPr>
            <w:tcW w:w="591" w:type="dxa"/>
            <w:vAlign w:val="center"/>
          </w:tcPr>
          <w:p>
            <w:pPr>
              <w:pStyle w:val="28"/>
            </w:pPr>
            <w:r>
              <w:rPr>
                <w:rFonts w:hint="eastAsia"/>
              </w:rPr>
              <w:t>台</w:t>
            </w:r>
          </w:p>
        </w:tc>
        <w:tc>
          <w:tcPr>
            <w:tcW w:w="619" w:type="dxa"/>
            <w:vAlign w:val="center"/>
          </w:tcPr>
          <w:p>
            <w:pPr>
              <w:pStyle w:val="28"/>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30" w:type="dxa"/>
            <w:vAlign w:val="center"/>
          </w:tcPr>
          <w:p>
            <w:pPr>
              <w:pStyle w:val="28"/>
            </w:pPr>
            <w:r>
              <w:rPr>
                <w:rFonts w:hint="eastAsia"/>
              </w:rPr>
              <w:t>13</w:t>
            </w:r>
          </w:p>
        </w:tc>
        <w:tc>
          <w:tcPr>
            <w:tcW w:w="1664" w:type="dxa"/>
            <w:vAlign w:val="center"/>
          </w:tcPr>
          <w:p>
            <w:pPr>
              <w:pStyle w:val="28"/>
            </w:pPr>
            <w:r>
              <w:rPr>
                <w:rFonts w:hint="eastAsia"/>
              </w:rPr>
              <w:t>音箱功放</w:t>
            </w:r>
          </w:p>
        </w:tc>
        <w:tc>
          <w:tcPr>
            <w:tcW w:w="4892" w:type="dxa"/>
            <w:vAlign w:val="center"/>
          </w:tcPr>
          <w:p>
            <w:pPr>
              <w:pStyle w:val="28"/>
            </w:pPr>
            <w:r>
              <w:rPr>
                <w:rFonts w:hint="eastAsia"/>
              </w:rPr>
              <w:t>双声道平衡专业功率放大器,每声道音量单独可调；</w:t>
            </w:r>
            <w:r>
              <w:rPr>
                <w:rFonts w:hint="eastAsia"/>
              </w:rPr>
              <w:br w:type="textWrapping"/>
            </w:r>
            <w:r>
              <w:rPr>
                <w:rFonts w:hint="eastAsia"/>
              </w:rPr>
              <w:t>支持2路XLR接口信号输入，2路6.35mm接口信号输入，使用更方便和灵活；</w:t>
            </w:r>
            <w:r>
              <w:rPr>
                <w:rFonts w:hint="eastAsia"/>
              </w:rPr>
              <w:br w:type="textWrapping"/>
            </w:r>
            <w:r>
              <w:rPr>
                <w:rFonts w:hint="eastAsia"/>
              </w:rPr>
              <w:t>支持三种输出方式可选选：双声道、单声道和BTL桥接；支持常用接线柱和专业SPEAKON扬声器插座（仅限于立体声工作模式）两种方式功率输出；</w:t>
            </w:r>
            <w:r>
              <w:rPr>
                <w:rFonts w:hint="eastAsia"/>
              </w:rPr>
              <w:br w:type="textWrapping"/>
            </w:r>
            <w:r>
              <w:rPr>
                <w:rFonts w:hint="eastAsia"/>
              </w:rPr>
              <w:t>支持智能保护模式，具有短路保护、直流保护、电源通断多种保护和告警功能；</w:t>
            </w:r>
            <w:r>
              <w:rPr>
                <w:rFonts w:hint="eastAsia"/>
              </w:rPr>
              <w:br w:type="textWrapping"/>
            </w:r>
            <w:r>
              <w:rPr>
                <w:rFonts w:hint="eastAsia"/>
              </w:rPr>
              <w:t>采用温度补偿技术和低噪声设计，左右两侧各配置一个散热窗口，保障良好的通风散热,高温下仍然维持稳定的工作状态；</w:t>
            </w:r>
            <w:r>
              <w:rPr>
                <w:rFonts w:hint="eastAsia"/>
              </w:rPr>
              <w:br w:type="textWrapping"/>
            </w:r>
            <w:r>
              <w:rPr>
                <w:rFonts w:hint="eastAsia"/>
              </w:rPr>
              <w:t>支持整机模拟限幅式保护，即使在过载失真时也不会对您的扬声器系统造成损害；</w:t>
            </w:r>
            <w:r>
              <w:rPr>
                <w:rFonts w:hint="eastAsia"/>
              </w:rPr>
              <w:br w:type="textWrapping"/>
            </w:r>
            <w:r>
              <w:rPr>
                <w:rFonts w:hint="eastAsia"/>
              </w:rPr>
              <w:t>支持LED指示灯显示各通道工作状态，显示内容包括:电源“power”,削顶“clip”,信号“signal”,直流保护“DC”,高温“TEMP”等；</w:t>
            </w:r>
            <w:r>
              <w:rPr>
                <w:rFonts w:hint="eastAsia"/>
              </w:rPr>
              <w:br w:type="textWrapping"/>
            </w:r>
            <w:r>
              <w:rPr>
                <w:rFonts w:hint="eastAsia"/>
              </w:rPr>
              <w:t>采用先进的防冲击保护设计，即使功率再大也不会对交流电网电压及音响产生冲击；</w:t>
            </w:r>
            <w:r>
              <w:rPr>
                <w:rFonts w:hint="eastAsia"/>
              </w:rPr>
              <w:br w:type="textWrapping"/>
            </w:r>
            <w:r>
              <w:rPr>
                <w:rFonts w:hint="eastAsia"/>
              </w:rPr>
              <w:t>多个功率级别的设计满足于不同场合的应用需求,额定输出/每声道,8Ω400W，额定输出/每声道,4Ω700W，额定输出/桥接,8Ω1400W。</w:t>
            </w:r>
            <w:r>
              <w:rPr>
                <w:rFonts w:hint="eastAsia"/>
              </w:rPr>
              <w:br w:type="textWrapping"/>
            </w:r>
            <w:r>
              <w:rPr>
                <w:rFonts w:hint="eastAsia"/>
              </w:rPr>
              <w:t>输入灵敏度：≥1.2dBV；</w:t>
            </w:r>
            <w:r>
              <w:rPr>
                <w:rFonts w:hint="eastAsia"/>
              </w:rPr>
              <w:br w:type="textWrapping"/>
            </w:r>
            <w:r>
              <w:rPr>
                <w:rFonts w:hint="eastAsia"/>
              </w:rPr>
              <w:t>通道阻抗：4-16Ω；</w:t>
            </w:r>
            <w:r>
              <w:rPr>
                <w:rFonts w:hint="eastAsia"/>
              </w:rPr>
              <w:br w:type="textWrapping"/>
            </w:r>
            <w:r>
              <w:rPr>
                <w:rFonts w:hint="eastAsia"/>
              </w:rPr>
              <w:t>信噪比：≥100dB；</w:t>
            </w:r>
          </w:p>
        </w:tc>
        <w:tc>
          <w:tcPr>
            <w:tcW w:w="591" w:type="dxa"/>
            <w:vAlign w:val="center"/>
          </w:tcPr>
          <w:p>
            <w:pPr>
              <w:pStyle w:val="28"/>
            </w:pPr>
            <w:r>
              <w:rPr>
                <w:rFonts w:hint="eastAsia"/>
              </w:rPr>
              <w:t>台</w:t>
            </w:r>
          </w:p>
        </w:tc>
        <w:tc>
          <w:tcPr>
            <w:tcW w:w="619" w:type="dxa"/>
            <w:vAlign w:val="center"/>
          </w:tcPr>
          <w:p>
            <w:pPr>
              <w:pStyle w:val="28"/>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30" w:type="dxa"/>
            <w:vAlign w:val="center"/>
          </w:tcPr>
          <w:p>
            <w:pPr>
              <w:pStyle w:val="28"/>
            </w:pPr>
            <w:r>
              <w:rPr>
                <w:rFonts w:hint="eastAsia"/>
              </w:rPr>
              <w:t>14</w:t>
            </w:r>
          </w:p>
        </w:tc>
        <w:tc>
          <w:tcPr>
            <w:tcW w:w="1664" w:type="dxa"/>
            <w:vAlign w:val="center"/>
          </w:tcPr>
          <w:p>
            <w:pPr>
              <w:pStyle w:val="28"/>
            </w:pPr>
            <w:r>
              <w:rPr>
                <w:rFonts w:hint="eastAsia"/>
              </w:rPr>
              <w:t>无线话筒一拖四</w:t>
            </w:r>
          </w:p>
        </w:tc>
        <w:tc>
          <w:tcPr>
            <w:tcW w:w="4892" w:type="dxa"/>
            <w:vAlign w:val="center"/>
          </w:tcPr>
          <w:p>
            <w:pPr>
              <w:pStyle w:val="28"/>
            </w:pPr>
            <w:r>
              <w:rPr>
                <w:rFonts w:hint="eastAsia"/>
              </w:rPr>
              <w:t>1.无线话筒一拖四。接收机参数:4通道；工作有效距离150米、发射器参数：功率8mW/12mW;电池耗电：约8小时；频带宽度：80MHz</w:t>
            </w:r>
          </w:p>
        </w:tc>
        <w:tc>
          <w:tcPr>
            <w:tcW w:w="591" w:type="dxa"/>
            <w:vAlign w:val="center"/>
          </w:tcPr>
          <w:p>
            <w:pPr>
              <w:pStyle w:val="28"/>
            </w:pPr>
            <w:r>
              <w:rPr>
                <w:rFonts w:hint="eastAsia"/>
              </w:rPr>
              <w:t>套</w:t>
            </w:r>
          </w:p>
        </w:tc>
        <w:tc>
          <w:tcPr>
            <w:tcW w:w="619" w:type="dxa"/>
            <w:vAlign w:val="center"/>
          </w:tcPr>
          <w:p>
            <w:pPr>
              <w:pStyle w:val="28"/>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30" w:type="dxa"/>
            <w:vAlign w:val="center"/>
          </w:tcPr>
          <w:p>
            <w:pPr>
              <w:pStyle w:val="28"/>
            </w:pPr>
            <w:r>
              <w:rPr>
                <w:rFonts w:hint="eastAsia"/>
              </w:rPr>
              <w:t>15</w:t>
            </w:r>
          </w:p>
        </w:tc>
        <w:tc>
          <w:tcPr>
            <w:tcW w:w="1664" w:type="dxa"/>
            <w:vAlign w:val="center"/>
          </w:tcPr>
          <w:p>
            <w:pPr>
              <w:pStyle w:val="28"/>
            </w:pPr>
            <w:r>
              <w:rPr>
                <w:rFonts w:hint="eastAsia"/>
              </w:rPr>
              <w:t>安装调试</w:t>
            </w:r>
          </w:p>
        </w:tc>
        <w:tc>
          <w:tcPr>
            <w:tcW w:w="4892" w:type="dxa"/>
            <w:vAlign w:val="center"/>
          </w:tcPr>
          <w:p>
            <w:pPr>
              <w:pStyle w:val="28"/>
            </w:pPr>
            <w:r>
              <w:rPr>
                <w:rFonts w:hint="eastAsia"/>
              </w:rPr>
              <w:t>音响系统的安装调试费用</w:t>
            </w:r>
          </w:p>
        </w:tc>
        <w:tc>
          <w:tcPr>
            <w:tcW w:w="591" w:type="dxa"/>
            <w:vAlign w:val="center"/>
          </w:tcPr>
          <w:p>
            <w:pPr>
              <w:pStyle w:val="28"/>
            </w:pPr>
            <w:r>
              <w:rPr>
                <w:rFonts w:hint="eastAsia"/>
              </w:rPr>
              <w:t>项</w:t>
            </w:r>
          </w:p>
        </w:tc>
        <w:tc>
          <w:tcPr>
            <w:tcW w:w="619" w:type="dxa"/>
            <w:vAlign w:val="center"/>
          </w:tcPr>
          <w:p>
            <w:pPr>
              <w:pStyle w:val="28"/>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30" w:type="dxa"/>
            <w:vAlign w:val="center"/>
          </w:tcPr>
          <w:p>
            <w:pPr>
              <w:pStyle w:val="28"/>
            </w:pPr>
            <w:r>
              <w:rPr>
                <w:rFonts w:hint="eastAsia"/>
              </w:rPr>
              <w:t>16</w:t>
            </w:r>
          </w:p>
        </w:tc>
        <w:tc>
          <w:tcPr>
            <w:tcW w:w="1664" w:type="dxa"/>
            <w:vAlign w:val="center"/>
          </w:tcPr>
          <w:p>
            <w:pPr>
              <w:pStyle w:val="28"/>
            </w:pPr>
            <w:r>
              <w:rPr>
                <w:rFonts w:hint="eastAsia"/>
              </w:rPr>
              <w:t>路由器</w:t>
            </w:r>
          </w:p>
        </w:tc>
        <w:tc>
          <w:tcPr>
            <w:tcW w:w="4892" w:type="dxa"/>
            <w:vAlign w:val="center"/>
          </w:tcPr>
          <w:p>
            <w:pPr>
              <w:pStyle w:val="28"/>
            </w:pPr>
            <w:r>
              <w:rPr>
                <w:rFonts w:hint="eastAsia"/>
              </w:rPr>
              <w:t>6个千兆电口，1个千兆光口，2个USB口，一个 Console口；可带机350终端，支持1000Ｍ带宽；集成AC（无线控制器），可管理32个AP或64个WALL AP，可选配1T硬盘配件。</w:t>
            </w:r>
          </w:p>
        </w:tc>
        <w:tc>
          <w:tcPr>
            <w:tcW w:w="591" w:type="dxa"/>
            <w:vAlign w:val="center"/>
          </w:tcPr>
          <w:p>
            <w:pPr>
              <w:pStyle w:val="28"/>
            </w:pPr>
            <w:r>
              <w:rPr>
                <w:rFonts w:hint="eastAsia"/>
              </w:rPr>
              <w:t>台</w:t>
            </w:r>
          </w:p>
        </w:tc>
        <w:tc>
          <w:tcPr>
            <w:tcW w:w="619" w:type="dxa"/>
            <w:vAlign w:val="center"/>
          </w:tcPr>
          <w:p>
            <w:pPr>
              <w:pStyle w:val="28"/>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30" w:type="dxa"/>
            <w:vAlign w:val="center"/>
          </w:tcPr>
          <w:p>
            <w:pPr>
              <w:pStyle w:val="28"/>
            </w:pPr>
            <w:r>
              <w:rPr>
                <w:rFonts w:hint="eastAsia"/>
              </w:rPr>
              <w:t>17</w:t>
            </w:r>
          </w:p>
        </w:tc>
        <w:tc>
          <w:tcPr>
            <w:tcW w:w="1664" w:type="dxa"/>
            <w:vAlign w:val="center"/>
          </w:tcPr>
          <w:p>
            <w:pPr>
              <w:pStyle w:val="28"/>
            </w:pPr>
            <w:r>
              <w:rPr>
                <w:rFonts w:hint="eastAsia"/>
              </w:rPr>
              <w:t>交换机</w:t>
            </w:r>
          </w:p>
        </w:tc>
        <w:tc>
          <w:tcPr>
            <w:tcW w:w="4892" w:type="dxa"/>
            <w:vAlign w:val="center"/>
          </w:tcPr>
          <w:p>
            <w:pPr>
              <w:pStyle w:val="28"/>
            </w:pPr>
            <w:r>
              <w:rPr>
                <w:rFonts w:hint="eastAsia"/>
              </w:rPr>
              <w:t>1.千兆交换机，端口:24个自适应千兆网口，4个1000Base-X SFP；2.尺寸：442x220x43.6；电压：220V；功耗&lt;24W.</w:t>
            </w:r>
          </w:p>
        </w:tc>
        <w:tc>
          <w:tcPr>
            <w:tcW w:w="591" w:type="dxa"/>
            <w:vAlign w:val="center"/>
          </w:tcPr>
          <w:p>
            <w:pPr>
              <w:pStyle w:val="28"/>
            </w:pPr>
            <w:r>
              <w:rPr>
                <w:rFonts w:hint="eastAsia"/>
              </w:rPr>
              <w:t>台</w:t>
            </w:r>
          </w:p>
        </w:tc>
        <w:tc>
          <w:tcPr>
            <w:tcW w:w="619" w:type="dxa"/>
            <w:vAlign w:val="center"/>
          </w:tcPr>
          <w:p>
            <w:pPr>
              <w:pStyle w:val="28"/>
            </w:pPr>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30" w:type="dxa"/>
            <w:vAlign w:val="center"/>
          </w:tcPr>
          <w:p>
            <w:pPr>
              <w:pStyle w:val="28"/>
            </w:pPr>
            <w:r>
              <w:rPr>
                <w:rFonts w:hint="eastAsia"/>
              </w:rPr>
              <w:t>18</w:t>
            </w:r>
          </w:p>
        </w:tc>
        <w:tc>
          <w:tcPr>
            <w:tcW w:w="1664" w:type="dxa"/>
            <w:vAlign w:val="center"/>
          </w:tcPr>
          <w:p>
            <w:pPr>
              <w:pStyle w:val="28"/>
            </w:pPr>
            <w:r>
              <w:rPr>
                <w:rFonts w:hint="eastAsia"/>
              </w:rPr>
              <w:t>配电柜</w:t>
            </w:r>
          </w:p>
        </w:tc>
        <w:tc>
          <w:tcPr>
            <w:tcW w:w="4892" w:type="dxa"/>
            <w:vAlign w:val="center"/>
          </w:tcPr>
          <w:p>
            <w:pPr>
              <w:pStyle w:val="28"/>
            </w:pPr>
            <w:r>
              <w:rPr>
                <w:rFonts w:hint="eastAsia"/>
              </w:rPr>
              <w:t>市电配电柜(含电线及电气开关）400*500*200MM</w:t>
            </w:r>
          </w:p>
        </w:tc>
        <w:tc>
          <w:tcPr>
            <w:tcW w:w="591" w:type="dxa"/>
            <w:vAlign w:val="center"/>
          </w:tcPr>
          <w:p>
            <w:pPr>
              <w:pStyle w:val="28"/>
            </w:pPr>
            <w:r>
              <w:rPr>
                <w:rFonts w:hint="eastAsia"/>
              </w:rPr>
              <w:t>台</w:t>
            </w:r>
          </w:p>
        </w:tc>
        <w:tc>
          <w:tcPr>
            <w:tcW w:w="619" w:type="dxa"/>
            <w:vAlign w:val="center"/>
          </w:tcPr>
          <w:p>
            <w:pPr>
              <w:pStyle w:val="28"/>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30" w:type="dxa"/>
            <w:vAlign w:val="center"/>
          </w:tcPr>
          <w:p>
            <w:pPr>
              <w:pStyle w:val="28"/>
            </w:pPr>
            <w:r>
              <w:rPr>
                <w:rFonts w:hint="eastAsia"/>
              </w:rPr>
              <w:t>19</w:t>
            </w:r>
          </w:p>
        </w:tc>
        <w:tc>
          <w:tcPr>
            <w:tcW w:w="1664" w:type="dxa"/>
            <w:vAlign w:val="center"/>
          </w:tcPr>
          <w:p>
            <w:pPr>
              <w:pStyle w:val="28"/>
            </w:pPr>
            <w:r>
              <w:rPr>
                <w:rFonts w:hint="eastAsia"/>
              </w:rPr>
              <w:t>服务器机柜</w:t>
            </w:r>
          </w:p>
        </w:tc>
        <w:tc>
          <w:tcPr>
            <w:tcW w:w="4892" w:type="dxa"/>
            <w:vAlign w:val="center"/>
          </w:tcPr>
          <w:p>
            <w:pPr>
              <w:pStyle w:val="28"/>
            </w:pPr>
            <w:r>
              <w:rPr>
                <w:rFonts w:hint="eastAsia"/>
              </w:rPr>
              <w:t>2000X600X1000含PDU。标准: 符合ANSI/EIA RS-310-D、IEC297-2、DIN41494；PART1、DIN41494;PART7、GB/T3047.2-92；兼容ETSI标准。</w:t>
            </w:r>
            <w:r>
              <w:rPr>
                <w:rFonts w:hint="eastAsia"/>
              </w:rPr>
              <w:br w:type="textWrapping"/>
            </w:r>
            <w:r>
              <w:rPr>
                <w:rFonts w:hint="eastAsia"/>
              </w:rPr>
              <w:t>特点:单开白色钢化玻璃前门；单开钣金后门；前后门免焊加强筋结构，美观牢固；前后门配高级典雅锁；可配客户需要的各种锁；前后门可改为双开。承载:静载800KG(带支架)防护等级:方孔条与安装梁：耐指纹敷铝锌板；其余：SPCC优质冷轧板；厚度：方孔条 2.0mm；安装梁1.5mm；其余 1.2mm。表面处理:</w:t>
            </w:r>
            <w:r>
              <w:rPr>
                <w:rFonts w:hint="eastAsia"/>
              </w:rPr>
              <w:br w:type="textWrapping"/>
            </w:r>
            <w:r>
              <w:rPr>
                <w:rFonts w:hint="eastAsia"/>
              </w:rPr>
              <w:t>方孔条、安装横梁：镀铝锌板 ；其余：脱脂、硅烷化处理 、静电喷塑</w:t>
            </w:r>
          </w:p>
        </w:tc>
        <w:tc>
          <w:tcPr>
            <w:tcW w:w="591" w:type="dxa"/>
            <w:vAlign w:val="center"/>
          </w:tcPr>
          <w:p>
            <w:pPr>
              <w:pStyle w:val="28"/>
            </w:pPr>
            <w:r>
              <w:rPr>
                <w:rFonts w:hint="eastAsia"/>
              </w:rPr>
              <w:t>台</w:t>
            </w:r>
          </w:p>
        </w:tc>
        <w:tc>
          <w:tcPr>
            <w:tcW w:w="619" w:type="dxa"/>
            <w:vAlign w:val="center"/>
          </w:tcPr>
          <w:p>
            <w:pPr>
              <w:pStyle w:val="28"/>
            </w:pPr>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30" w:type="dxa"/>
            <w:vAlign w:val="center"/>
          </w:tcPr>
          <w:p>
            <w:pPr>
              <w:pStyle w:val="28"/>
            </w:pPr>
            <w:r>
              <w:rPr>
                <w:rFonts w:hint="eastAsia"/>
              </w:rPr>
              <w:t>20</w:t>
            </w:r>
          </w:p>
        </w:tc>
        <w:tc>
          <w:tcPr>
            <w:tcW w:w="1664" w:type="dxa"/>
            <w:vAlign w:val="center"/>
          </w:tcPr>
          <w:p>
            <w:pPr>
              <w:pStyle w:val="28"/>
            </w:pPr>
            <w:r>
              <w:rPr>
                <w:rFonts w:hint="eastAsia"/>
              </w:rPr>
              <w:t>设备柜散力架</w:t>
            </w:r>
          </w:p>
        </w:tc>
        <w:tc>
          <w:tcPr>
            <w:tcW w:w="4892" w:type="dxa"/>
            <w:vAlign w:val="center"/>
          </w:tcPr>
          <w:p>
            <w:pPr>
              <w:pStyle w:val="28"/>
            </w:pPr>
            <w:r>
              <w:rPr>
                <w:rFonts w:hint="eastAsia"/>
              </w:rPr>
              <w:t>根据机柜、电池柜尺寸定制承重散力架</w:t>
            </w:r>
          </w:p>
        </w:tc>
        <w:tc>
          <w:tcPr>
            <w:tcW w:w="591" w:type="dxa"/>
            <w:vAlign w:val="center"/>
          </w:tcPr>
          <w:p>
            <w:pPr>
              <w:pStyle w:val="28"/>
            </w:pPr>
            <w:r>
              <w:rPr>
                <w:rFonts w:hint="eastAsia"/>
              </w:rPr>
              <w:t>套</w:t>
            </w:r>
          </w:p>
        </w:tc>
        <w:tc>
          <w:tcPr>
            <w:tcW w:w="619" w:type="dxa"/>
            <w:vAlign w:val="center"/>
          </w:tcPr>
          <w:p>
            <w:pPr>
              <w:pStyle w:val="28"/>
            </w:pPr>
            <w:r>
              <w:rPr>
                <w:rFonts w:hint="eastAsi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30" w:type="dxa"/>
            <w:vAlign w:val="center"/>
          </w:tcPr>
          <w:p>
            <w:pPr>
              <w:pStyle w:val="28"/>
            </w:pPr>
            <w:r>
              <w:rPr>
                <w:rFonts w:hint="eastAsia"/>
              </w:rPr>
              <w:t>21</w:t>
            </w:r>
          </w:p>
        </w:tc>
        <w:tc>
          <w:tcPr>
            <w:tcW w:w="1664" w:type="dxa"/>
            <w:vAlign w:val="center"/>
          </w:tcPr>
          <w:p>
            <w:pPr>
              <w:pStyle w:val="28"/>
            </w:pPr>
            <w:r>
              <w:rPr>
                <w:rFonts w:hint="eastAsia"/>
              </w:rPr>
              <w:t>UPS主机</w:t>
            </w:r>
          </w:p>
        </w:tc>
        <w:tc>
          <w:tcPr>
            <w:tcW w:w="4892" w:type="dxa"/>
            <w:vAlign w:val="center"/>
          </w:tcPr>
          <w:p>
            <w:pPr>
              <w:pStyle w:val="28"/>
            </w:pPr>
            <w:r>
              <w:rPr>
                <w:rFonts w:hint="eastAsia"/>
              </w:rPr>
              <w:t>额定功率：10KVA/9kw，产品拓扑：在线式双转换，输入电压： 380/220VAC，过载能力：105%:10min, 125%~150%:30S，≥150%:500ms</w:t>
            </w:r>
          </w:p>
        </w:tc>
        <w:tc>
          <w:tcPr>
            <w:tcW w:w="591" w:type="dxa"/>
            <w:vAlign w:val="center"/>
          </w:tcPr>
          <w:p>
            <w:pPr>
              <w:pStyle w:val="28"/>
            </w:pPr>
            <w:r>
              <w:rPr>
                <w:rFonts w:hint="eastAsia"/>
              </w:rPr>
              <w:t>台</w:t>
            </w:r>
          </w:p>
        </w:tc>
        <w:tc>
          <w:tcPr>
            <w:tcW w:w="619" w:type="dxa"/>
            <w:vAlign w:val="center"/>
          </w:tcPr>
          <w:p>
            <w:pPr>
              <w:pStyle w:val="28"/>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30" w:type="dxa"/>
            <w:vAlign w:val="center"/>
          </w:tcPr>
          <w:p>
            <w:pPr>
              <w:pStyle w:val="28"/>
            </w:pPr>
            <w:r>
              <w:rPr>
                <w:rFonts w:hint="eastAsia"/>
              </w:rPr>
              <w:t>22</w:t>
            </w:r>
          </w:p>
        </w:tc>
        <w:tc>
          <w:tcPr>
            <w:tcW w:w="1664" w:type="dxa"/>
            <w:vAlign w:val="center"/>
          </w:tcPr>
          <w:p>
            <w:pPr>
              <w:pStyle w:val="28"/>
            </w:pPr>
            <w:r>
              <w:rPr>
                <w:rFonts w:hint="eastAsia"/>
              </w:rPr>
              <w:t>100AH蓄电池</w:t>
            </w:r>
          </w:p>
        </w:tc>
        <w:tc>
          <w:tcPr>
            <w:tcW w:w="4892" w:type="dxa"/>
            <w:vAlign w:val="center"/>
          </w:tcPr>
          <w:p>
            <w:pPr>
              <w:pStyle w:val="28"/>
            </w:pPr>
            <w:r>
              <w:rPr>
                <w:rFonts w:hint="eastAsia"/>
              </w:rPr>
              <w:t>免维护（寿命期内无需加酸加水），使用严格的生产工艺，单体电压均衡性佳，采用特殊板栅合金，抗腐蚀性能及深循环性能好， 自放电极小，吸附式玻璃纤维技术使气体复合效率高达99%且内阻低，大电流放电性能优良，铅酸蓄电池主要的技术性能：蓄电池由正极板、负极板、隔板、槽、盖、安全阀、回流条、端子、电解液等组成。结构采用特殊板栅合金，抗腐蚀性能及深循环性能好， 自放电极小。接线板、终端接头采用导电性能优良的材料，并具有防腐蚀措施。蓄电池槽、盖、安全阀、极柱封口剂等材料具有阻燃性。在环境温度20～25℃时的浮充运行寿命应不低于10年。除安全阀外，可以承受50kPa的正压或负压而不破裂、不开胶，压力释放后壳体无残余变形。</w:t>
            </w:r>
          </w:p>
        </w:tc>
        <w:tc>
          <w:tcPr>
            <w:tcW w:w="591" w:type="dxa"/>
            <w:vAlign w:val="center"/>
          </w:tcPr>
          <w:p>
            <w:pPr>
              <w:pStyle w:val="28"/>
            </w:pPr>
            <w:r>
              <w:rPr>
                <w:rFonts w:hint="eastAsia"/>
              </w:rPr>
              <w:t>块</w:t>
            </w:r>
          </w:p>
        </w:tc>
        <w:tc>
          <w:tcPr>
            <w:tcW w:w="619" w:type="dxa"/>
            <w:vAlign w:val="center"/>
          </w:tcPr>
          <w:p>
            <w:pPr>
              <w:pStyle w:val="28"/>
            </w:pPr>
            <w:r>
              <w:rPr>
                <w:rFonts w:hint="eastAsia"/>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30" w:type="dxa"/>
            <w:vAlign w:val="center"/>
          </w:tcPr>
          <w:p>
            <w:pPr>
              <w:pStyle w:val="28"/>
            </w:pPr>
            <w:r>
              <w:rPr>
                <w:rFonts w:hint="eastAsia"/>
              </w:rPr>
              <w:t>23</w:t>
            </w:r>
          </w:p>
        </w:tc>
        <w:tc>
          <w:tcPr>
            <w:tcW w:w="1664" w:type="dxa"/>
            <w:vAlign w:val="center"/>
          </w:tcPr>
          <w:p>
            <w:pPr>
              <w:pStyle w:val="28"/>
            </w:pPr>
            <w:r>
              <w:rPr>
                <w:rFonts w:hint="eastAsia"/>
              </w:rPr>
              <w:t>电池柜</w:t>
            </w:r>
          </w:p>
        </w:tc>
        <w:tc>
          <w:tcPr>
            <w:tcW w:w="4892" w:type="dxa"/>
            <w:vAlign w:val="center"/>
          </w:tcPr>
          <w:p>
            <w:pPr>
              <w:pStyle w:val="28"/>
            </w:pPr>
            <w:r>
              <w:rPr>
                <w:rFonts w:hint="eastAsia"/>
              </w:rPr>
              <w:t>尺寸：780*490*1180MM，6MM电池接线，63A空开，60A接线端子</w:t>
            </w:r>
          </w:p>
        </w:tc>
        <w:tc>
          <w:tcPr>
            <w:tcW w:w="591" w:type="dxa"/>
            <w:vAlign w:val="center"/>
          </w:tcPr>
          <w:p>
            <w:pPr>
              <w:pStyle w:val="28"/>
            </w:pPr>
            <w:r>
              <w:rPr>
                <w:rFonts w:hint="eastAsia"/>
              </w:rPr>
              <w:t>个</w:t>
            </w:r>
          </w:p>
        </w:tc>
        <w:tc>
          <w:tcPr>
            <w:tcW w:w="619" w:type="dxa"/>
            <w:vAlign w:val="center"/>
          </w:tcPr>
          <w:p>
            <w:pPr>
              <w:pStyle w:val="28"/>
            </w:pPr>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30" w:type="dxa"/>
            <w:vAlign w:val="center"/>
          </w:tcPr>
          <w:p>
            <w:pPr>
              <w:pStyle w:val="28"/>
            </w:pPr>
            <w:r>
              <w:rPr>
                <w:rFonts w:hint="eastAsia"/>
              </w:rPr>
              <w:t>24</w:t>
            </w:r>
          </w:p>
        </w:tc>
        <w:tc>
          <w:tcPr>
            <w:tcW w:w="1664" w:type="dxa"/>
            <w:vAlign w:val="center"/>
          </w:tcPr>
          <w:p>
            <w:pPr>
              <w:pStyle w:val="28"/>
            </w:pPr>
            <w:r>
              <w:rPr>
                <w:rFonts w:hint="eastAsia"/>
              </w:rPr>
              <w:t>电缆</w:t>
            </w:r>
          </w:p>
        </w:tc>
        <w:tc>
          <w:tcPr>
            <w:tcW w:w="4892" w:type="dxa"/>
            <w:vAlign w:val="center"/>
          </w:tcPr>
          <w:p>
            <w:pPr>
              <w:pStyle w:val="28"/>
            </w:pPr>
            <w:r>
              <w:rPr>
                <w:rFonts w:hint="eastAsia"/>
              </w:rPr>
              <w:t>国标电缆RVV4*4MM</w:t>
            </w:r>
          </w:p>
        </w:tc>
        <w:tc>
          <w:tcPr>
            <w:tcW w:w="591" w:type="dxa"/>
            <w:vAlign w:val="center"/>
          </w:tcPr>
          <w:p>
            <w:pPr>
              <w:pStyle w:val="28"/>
            </w:pPr>
            <w:r>
              <w:rPr>
                <w:rFonts w:hint="eastAsia"/>
              </w:rPr>
              <w:t>米</w:t>
            </w:r>
          </w:p>
        </w:tc>
        <w:tc>
          <w:tcPr>
            <w:tcW w:w="619" w:type="dxa"/>
            <w:vAlign w:val="center"/>
          </w:tcPr>
          <w:p>
            <w:pPr>
              <w:pStyle w:val="28"/>
            </w:pPr>
            <w:r>
              <w:rPr>
                <w:rFonts w:hint="eastAsia"/>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30" w:type="dxa"/>
            <w:vAlign w:val="center"/>
          </w:tcPr>
          <w:p>
            <w:pPr>
              <w:pStyle w:val="28"/>
            </w:pPr>
            <w:r>
              <w:rPr>
                <w:rFonts w:hint="eastAsia"/>
              </w:rPr>
              <w:t>25</w:t>
            </w:r>
          </w:p>
        </w:tc>
        <w:tc>
          <w:tcPr>
            <w:tcW w:w="1664" w:type="dxa"/>
            <w:vAlign w:val="center"/>
          </w:tcPr>
          <w:p>
            <w:pPr>
              <w:pStyle w:val="28"/>
            </w:pPr>
            <w:r>
              <w:rPr>
                <w:rFonts w:hint="eastAsia"/>
              </w:rPr>
              <w:t>辅材</w:t>
            </w:r>
          </w:p>
        </w:tc>
        <w:tc>
          <w:tcPr>
            <w:tcW w:w="4892" w:type="dxa"/>
            <w:vAlign w:val="center"/>
          </w:tcPr>
          <w:p>
            <w:pPr>
              <w:pStyle w:val="28"/>
            </w:pPr>
            <w:r>
              <w:rPr>
                <w:rFonts w:hint="eastAsia"/>
              </w:rPr>
              <w:t>开关、插座、线材、网络跳线、标签、理线架、盲板</w:t>
            </w:r>
          </w:p>
        </w:tc>
        <w:tc>
          <w:tcPr>
            <w:tcW w:w="591" w:type="dxa"/>
            <w:vAlign w:val="center"/>
          </w:tcPr>
          <w:p>
            <w:pPr>
              <w:pStyle w:val="28"/>
            </w:pPr>
            <w:r>
              <w:rPr>
                <w:rFonts w:hint="eastAsia"/>
              </w:rPr>
              <w:t>项</w:t>
            </w:r>
          </w:p>
        </w:tc>
        <w:tc>
          <w:tcPr>
            <w:tcW w:w="619" w:type="dxa"/>
            <w:vAlign w:val="center"/>
          </w:tcPr>
          <w:p>
            <w:pPr>
              <w:pStyle w:val="28"/>
            </w:pPr>
            <w:r>
              <w:rPr>
                <w:rFonts w:hint="eastAsia"/>
              </w:rPr>
              <w:t>1</w:t>
            </w:r>
          </w:p>
        </w:tc>
      </w:tr>
    </w:tbl>
    <w:p>
      <w:pPr>
        <w:pStyle w:val="28"/>
      </w:pPr>
    </w:p>
    <w:p>
      <w:pPr>
        <w:pStyle w:val="3"/>
      </w:pPr>
      <w:r>
        <w:rPr>
          <w:rFonts w:hint="eastAsia"/>
        </w:rPr>
        <w:t>其他建设内容</w:t>
      </w:r>
    </w:p>
    <w:p>
      <w:pPr>
        <w:pStyle w:val="27"/>
        <w:spacing w:before="217"/>
        <w:ind w:left="188" w:hanging="188"/>
      </w:pPr>
      <w:r>
        <w:rPr>
          <w:rFonts w:hint="eastAsia"/>
        </w:rPr>
        <w:t>其他建设内容清单</w:t>
      </w:r>
    </w:p>
    <w:tbl>
      <w:tblPr>
        <w:tblStyle w:val="14"/>
        <w:tblW w:w="5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660"/>
        <w:gridCol w:w="960"/>
        <w:gridCol w:w="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40" w:type="dxa"/>
            <w:vAlign w:val="center"/>
          </w:tcPr>
          <w:p>
            <w:pPr>
              <w:pStyle w:val="28"/>
              <w:rPr>
                <w:b/>
                <w:bCs/>
              </w:rPr>
            </w:pPr>
            <w:r>
              <w:rPr>
                <w:rFonts w:hint="eastAsia"/>
                <w:b/>
                <w:bCs/>
              </w:rPr>
              <w:t>序号</w:t>
            </w:r>
          </w:p>
        </w:tc>
        <w:tc>
          <w:tcPr>
            <w:tcW w:w="2660" w:type="dxa"/>
            <w:vAlign w:val="center"/>
          </w:tcPr>
          <w:p>
            <w:pPr>
              <w:pStyle w:val="28"/>
              <w:rPr>
                <w:b/>
                <w:bCs/>
              </w:rPr>
            </w:pPr>
            <w:r>
              <w:rPr>
                <w:rFonts w:hint="eastAsia"/>
                <w:b/>
                <w:bCs/>
              </w:rPr>
              <w:t>项目</w:t>
            </w:r>
          </w:p>
        </w:tc>
        <w:tc>
          <w:tcPr>
            <w:tcW w:w="960" w:type="dxa"/>
            <w:vAlign w:val="center"/>
          </w:tcPr>
          <w:p>
            <w:pPr>
              <w:pStyle w:val="28"/>
              <w:rPr>
                <w:b/>
                <w:bCs/>
              </w:rPr>
            </w:pPr>
            <w:r>
              <w:rPr>
                <w:rFonts w:hint="eastAsia"/>
                <w:b/>
                <w:bCs/>
              </w:rPr>
              <w:t>数量</w:t>
            </w:r>
          </w:p>
        </w:tc>
        <w:tc>
          <w:tcPr>
            <w:tcW w:w="960" w:type="dxa"/>
            <w:vAlign w:val="center"/>
          </w:tcPr>
          <w:p>
            <w:pPr>
              <w:pStyle w:val="28"/>
              <w:rPr>
                <w:b/>
                <w:bCs/>
              </w:rPr>
            </w:pPr>
            <w:r>
              <w:rPr>
                <w:rFonts w:hint="eastAsia"/>
                <w:b/>
                <w:bCs/>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40" w:type="dxa"/>
            <w:vAlign w:val="center"/>
          </w:tcPr>
          <w:p>
            <w:pPr>
              <w:pStyle w:val="28"/>
            </w:pPr>
            <w:r>
              <w:rPr>
                <w:rFonts w:hint="eastAsia"/>
              </w:rPr>
              <w:t>1</w:t>
            </w:r>
          </w:p>
        </w:tc>
        <w:tc>
          <w:tcPr>
            <w:tcW w:w="2660" w:type="dxa"/>
            <w:vAlign w:val="center"/>
          </w:tcPr>
          <w:p>
            <w:pPr>
              <w:pStyle w:val="28"/>
            </w:pPr>
            <w:r>
              <w:rPr>
                <w:rFonts w:hint="eastAsia"/>
              </w:rPr>
              <w:t>等保2.0三级测评</w:t>
            </w:r>
          </w:p>
        </w:tc>
        <w:tc>
          <w:tcPr>
            <w:tcW w:w="960" w:type="dxa"/>
            <w:vAlign w:val="center"/>
          </w:tcPr>
          <w:p>
            <w:pPr>
              <w:pStyle w:val="28"/>
            </w:pPr>
            <w:r>
              <w:rPr>
                <w:rFonts w:hint="eastAsia"/>
              </w:rPr>
              <w:t>1</w:t>
            </w:r>
          </w:p>
        </w:tc>
        <w:tc>
          <w:tcPr>
            <w:tcW w:w="960" w:type="dxa"/>
            <w:vAlign w:val="center"/>
          </w:tcPr>
          <w:p>
            <w:pPr>
              <w:pStyle w:val="28"/>
            </w:pP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40" w:type="dxa"/>
            <w:vAlign w:val="center"/>
          </w:tcPr>
          <w:p>
            <w:pPr>
              <w:pStyle w:val="28"/>
            </w:pPr>
            <w:r>
              <w:rPr>
                <w:rFonts w:hint="eastAsia"/>
              </w:rPr>
              <w:t>2</w:t>
            </w:r>
          </w:p>
        </w:tc>
        <w:tc>
          <w:tcPr>
            <w:tcW w:w="2660" w:type="dxa"/>
            <w:vAlign w:val="center"/>
          </w:tcPr>
          <w:p>
            <w:pPr>
              <w:pStyle w:val="28"/>
            </w:pPr>
            <w:r>
              <w:rPr>
                <w:rFonts w:hint="eastAsia"/>
              </w:rPr>
              <w:t>商用密码方案编制及评估</w:t>
            </w:r>
          </w:p>
        </w:tc>
        <w:tc>
          <w:tcPr>
            <w:tcW w:w="960" w:type="dxa"/>
            <w:vAlign w:val="center"/>
          </w:tcPr>
          <w:p>
            <w:pPr>
              <w:pStyle w:val="28"/>
            </w:pPr>
            <w:r>
              <w:rPr>
                <w:rFonts w:hint="eastAsia"/>
              </w:rPr>
              <w:t>1</w:t>
            </w:r>
          </w:p>
        </w:tc>
        <w:tc>
          <w:tcPr>
            <w:tcW w:w="960" w:type="dxa"/>
            <w:vAlign w:val="center"/>
          </w:tcPr>
          <w:p>
            <w:pPr>
              <w:pStyle w:val="28"/>
            </w:pP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40" w:type="dxa"/>
            <w:vAlign w:val="center"/>
          </w:tcPr>
          <w:p>
            <w:pPr>
              <w:pStyle w:val="28"/>
            </w:pPr>
            <w:r>
              <w:rPr>
                <w:rFonts w:hint="eastAsia"/>
              </w:rPr>
              <w:t>3</w:t>
            </w:r>
          </w:p>
        </w:tc>
        <w:tc>
          <w:tcPr>
            <w:tcW w:w="2660" w:type="dxa"/>
            <w:vAlign w:val="center"/>
          </w:tcPr>
          <w:p>
            <w:pPr>
              <w:pStyle w:val="28"/>
            </w:pPr>
            <w:r>
              <w:rPr>
                <w:rFonts w:hint="eastAsia"/>
              </w:rPr>
              <w:t>商用密码改造建设</w:t>
            </w:r>
          </w:p>
        </w:tc>
        <w:tc>
          <w:tcPr>
            <w:tcW w:w="960" w:type="dxa"/>
            <w:vAlign w:val="center"/>
          </w:tcPr>
          <w:p>
            <w:pPr>
              <w:pStyle w:val="28"/>
            </w:pPr>
            <w:r>
              <w:rPr>
                <w:rFonts w:hint="eastAsia"/>
              </w:rPr>
              <w:t>1</w:t>
            </w:r>
          </w:p>
        </w:tc>
        <w:tc>
          <w:tcPr>
            <w:tcW w:w="960" w:type="dxa"/>
            <w:vAlign w:val="center"/>
          </w:tcPr>
          <w:p>
            <w:pPr>
              <w:pStyle w:val="28"/>
            </w:pP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40" w:type="dxa"/>
            <w:vAlign w:val="center"/>
          </w:tcPr>
          <w:p>
            <w:pPr>
              <w:pStyle w:val="28"/>
            </w:pPr>
            <w:r>
              <w:rPr>
                <w:rFonts w:hint="eastAsia"/>
              </w:rPr>
              <w:t>4</w:t>
            </w:r>
          </w:p>
        </w:tc>
        <w:tc>
          <w:tcPr>
            <w:tcW w:w="2660" w:type="dxa"/>
            <w:vAlign w:val="center"/>
          </w:tcPr>
          <w:p>
            <w:pPr>
              <w:pStyle w:val="28"/>
            </w:pPr>
            <w:r>
              <w:rPr>
                <w:rFonts w:hint="eastAsia"/>
              </w:rPr>
              <w:t>商用密码安全性测评</w:t>
            </w:r>
          </w:p>
        </w:tc>
        <w:tc>
          <w:tcPr>
            <w:tcW w:w="960" w:type="dxa"/>
            <w:vAlign w:val="center"/>
          </w:tcPr>
          <w:p>
            <w:pPr>
              <w:pStyle w:val="28"/>
            </w:pPr>
            <w:r>
              <w:rPr>
                <w:rFonts w:hint="eastAsia"/>
              </w:rPr>
              <w:t>1</w:t>
            </w:r>
          </w:p>
        </w:tc>
        <w:tc>
          <w:tcPr>
            <w:tcW w:w="960" w:type="dxa"/>
            <w:vAlign w:val="center"/>
          </w:tcPr>
          <w:p>
            <w:pPr>
              <w:pStyle w:val="28"/>
            </w:pP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40" w:type="dxa"/>
            <w:vAlign w:val="center"/>
          </w:tcPr>
          <w:p>
            <w:pPr>
              <w:pStyle w:val="28"/>
            </w:pPr>
            <w:r>
              <w:rPr>
                <w:rFonts w:hint="eastAsia"/>
              </w:rPr>
              <w:t>5</w:t>
            </w:r>
          </w:p>
        </w:tc>
        <w:tc>
          <w:tcPr>
            <w:tcW w:w="2660" w:type="dxa"/>
            <w:vAlign w:val="center"/>
          </w:tcPr>
          <w:p>
            <w:pPr>
              <w:pStyle w:val="28"/>
            </w:pPr>
            <w:r>
              <w:rPr>
                <w:rFonts w:hint="eastAsia"/>
              </w:rPr>
              <w:t>第三方测试</w:t>
            </w:r>
          </w:p>
        </w:tc>
        <w:tc>
          <w:tcPr>
            <w:tcW w:w="960" w:type="dxa"/>
            <w:vAlign w:val="center"/>
          </w:tcPr>
          <w:p>
            <w:pPr>
              <w:pStyle w:val="28"/>
            </w:pPr>
            <w:r>
              <w:rPr>
                <w:rFonts w:hint="eastAsia"/>
              </w:rPr>
              <w:t>1</w:t>
            </w:r>
          </w:p>
        </w:tc>
        <w:tc>
          <w:tcPr>
            <w:tcW w:w="960" w:type="dxa"/>
            <w:vAlign w:val="center"/>
          </w:tcPr>
          <w:p>
            <w:pPr>
              <w:pStyle w:val="28"/>
            </w:pP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40" w:type="dxa"/>
            <w:vAlign w:val="center"/>
          </w:tcPr>
          <w:p>
            <w:pPr>
              <w:pStyle w:val="28"/>
            </w:pPr>
            <w:r>
              <w:rPr>
                <w:rFonts w:hint="eastAsia"/>
              </w:rPr>
              <w:t>6</w:t>
            </w:r>
          </w:p>
        </w:tc>
        <w:tc>
          <w:tcPr>
            <w:tcW w:w="2660" w:type="dxa"/>
            <w:vAlign w:val="center"/>
          </w:tcPr>
          <w:p>
            <w:pPr>
              <w:pStyle w:val="28"/>
            </w:pPr>
            <w:r>
              <w:rPr>
                <w:rFonts w:hint="eastAsia"/>
              </w:rPr>
              <w:t>项目监理</w:t>
            </w:r>
          </w:p>
        </w:tc>
        <w:tc>
          <w:tcPr>
            <w:tcW w:w="960" w:type="dxa"/>
            <w:vAlign w:val="center"/>
          </w:tcPr>
          <w:p>
            <w:pPr>
              <w:pStyle w:val="28"/>
            </w:pPr>
            <w:r>
              <w:rPr>
                <w:rFonts w:hint="eastAsia"/>
              </w:rPr>
              <w:t>1</w:t>
            </w:r>
          </w:p>
        </w:tc>
        <w:tc>
          <w:tcPr>
            <w:tcW w:w="960" w:type="dxa"/>
            <w:vAlign w:val="center"/>
          </w:tcPr>
          <w:p>
            <w:pPr>
              <w:pStyle w:val="28"/>
            </w:pPr>
            <w:r>
              <w:rPr>
                <w:rFonts w:hint="eastAsia"/>
              </w:rPr>
              <w:t>项</w:t>
            </w:r>
          </w:p>
        </w:tc>
      </w:tr>
    </w:tbl>
    <w:p/>
    <w:p>
      <w:pPr>
        <w:pStyle w:val="34"/>
        <w:numPr>
          <w:ilvl w:val="0"/>
          <w:numId w:val="0"/>
        </w:numPr>
        <w:spacing w:before="156"/>
        <w:ind w:leftChars="0"/>
        <w:rPr>
          <w:rFonts w:hint="eastAsia"/>
          <w:lang w:val="en-US" w:eastAsia="zh-CN"/>
        </w:rPr>
      </w:pPr>
      <w:r>
        <w:rPr>
          <w:rFonts w:hint="eastAsia"/>
          <w:lang w:val="en-US" w:eastAsia="zh-CN"/>
        </w:rPr>
        <w:t>表6封闭式管理需要隔离设施明细</w:t>
      </w:r>
    </w:p>
    <w:tbl>
      <w:tblPr>
        <w:tblStyle w:val="14"/>
        <w:tblW w:w="82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6"/>
        <w:gridCol w:w="2197"/>
        <w:gridCol w:w="990"/>
        <w:gridCol w:w="960"/>
        <w:gridCol w:w="30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046" w:type="dxa"/>
            <w:noWrap/>
            <w:vAlign w:val="center"/>
          </w:tcPr>
          <w:p>
            <w:pPr>
              <w:pStyle w:val="28"/>
              <w:rPr>
                <w:b/>
                <w:bCs/>
              </w:rPr>
            </w:pPr>
            <w:r>
              <w:rPr>
                <w:rFonts w:hint="eastAsia"/>
                <w:b/>
                <w:bCs/>
              </w:rPr>
              <w:t>序号</w:t>
            </w:r>
          </w:p>
        </w:tc>
        <w:tc>
          <w:tcPr>
            <w:tcW w:w="2197" w:type="dxa"/>
            <w:noWrap/>
            <w:vAlign w:val="center"/>
          </w:tcPr>
          <w:p>
            <w:pPr>
              <w:pStyle w:val="28"/>
              <w:rPr>
                <w:b/>
                <w:bCs/>
              </w:rPr>
            </w:pPr>
            <w:r>
              <w:rPr>
                <w:rFonts w:hint="eastAsia"/>
                <w:b/>
                <w:bCs/>
              </w:rPr>
              <w:t>项</w:t>
            </w:r>
            <w:r>
              <w:rPr>
                <w:rFonts w:hint="eastAsia"/>
                <w:b/>
                <w:bCs/>
                <w:lang w:val="en-US" w:eastAsia="zh-CN"/>
              </w:rPr>
              <w:t xml:space="preserve"> </w:t>
            </w:r>
            <w:r>
              <w:rPr>
                <w:rFonts w:hint="eastAsia"/>
                <w:b/>
                <w:bCs/>
              </w:rPr>
              <w:t>目</w:t>
            </w:r>
          </w:p>
        </w:tc>
        <w:tc>
          <w:tcPr>
            <w:tcW w:w="990" w:type="dxa"/>
            <w:noWrap/>
            <w:vAlign w:val="center"/>
          </w:tcPr>
          <w:p>
            <w:pPr>
              <w:pStyle w:val="28"/>
              <w:rPr>
                <w:b/>
                <w:bCs/>
              </w:rPr>
            </w:pPr>
            <w:r>
              <w:rPr>
                <w:rFonts w:hint="eastAsia"/>
                <w:b/>
                <w:bCs/>
              </w:rPr>
              <w:t>数量</w:t>
            </w:r>
          </w:p>
        </w:tc>
        <w:tc>
          <w:tcPr>
            <w:tcW w:w="960" w:type="dxa"/>
            <w:noWrap/>
            <w:vAlign w:val="center"/>
          </w:tcPr>
          <w:p>
            <w:pPr>
              <w:pStyle w:val="28"/>
              <w:rPr>
                <w:b/>
                <w:bCs/>
              </w:rPr>
            </w:pPr>
            <w:r>
              <w:rPr>
                <w:rFonts w:hint="eastAsia"/>
                <w:b/>
                <w:bCs/>
              </w:rPr>
              <w:t>单位</w:t>
            </w:r>
          </w:p>
        </w:tc>
        <w:tc>
          <w:tcPr>
            <w:tcW w:w="3033" w:type="dxa"/>
            <w:noWrap/>
            <w:vAlign w:val="center"/>
          </w:tcPr>
          <w:p>
            <w:pPr>
              <w:pStyle w:val="28"/>
              <w:rPr>
                <w:rFonts w:hint="eastAsia" w:eastAsia="宋体"/>
                <w:b/>
                <w:bCs/>
                <w:lang w:val="en-US" w:eastAsia="zh-CN"/>
              </w:rPr>
            </w:pPr>
            <w:r>
              <w:rPr>
                <w:rFonts w:hint="eastAsia"/>
                <w:b/>
                <w:bCs/>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046" w:type="dxa"/>
            <w:noWrap/>
            <w:vAlign w:val="center"/>
          </w:tcPr>
          <w:p>
            <w:pPr>
              <w:pStyle w:val="28"/>
            </w:pPr>
            <w:r>
              <w:rPr>
                <w:rFonts w:hint="eastAsia"/>
              </w:rPr>
              <w:t>1</w:t>
            </w:r>
          </w:p>
        </w:tc>
        <w:tc>
          <w:tcPr>
            <w:tcW w:w="2197" w:type="dxa"/>
            <w:noWrap/>
            <w:vAlign w:val="center"/>
          </w:tcPr>
          <w:p>
            <w:pPr>
              <w:pStyle w:val="28"/>
            </w:pPr>
            <w:r>
              <w:rPr>
                <w:rFonts w:hint="eastAsia"/>
              </w:rPr>
              <w:t>闸道门</w:t>
            </w:r>
          </w:p>
        </w:tc>
        <w:tc>
          <w:tcPr>
            <w:tcW w:w="990" w:type="dxa"/>
            <w:noWrap/>
            <w:vAlign w:val="center"/>
          </w:tcPr>
          <w:p>
            <w:pPr>
              <w:pStyle w:val="28"/>
              <w:rPr>
                <w:rFonts w:hint="eastAsia" w:eastAsia="宋体"/>
                <w:lang w:eastAsia="zh-CN"/>
              </w:rPr>
            </w:pPr>
            <w:r>
              <w:rPr>
                <w:rFonts w:hint="eastAsia"/>
                <w:lang w:val="en-US" w:eastAsia="zh-CN"/>
              </w:rPr>
              <w:t>6</w:t>
            </w:r>
          </w:p>
        </w:tc>
        <w:tc>
          <w:tcPr>
            <w:tcW w:w="960" w:type="dxa"/>
            <w:noWrap/>
            <w:vAlign w:val="center"/>
          </w:tcPr>
          <w:p>
            <w:pPr>
              <w:pStyle w:val="28"/>
              <w:rPr>
                <w:rFonts w:hint="eastAsia" w:eastAsia="宋体"/>
                <w:lang w:eastAsia="zh-CN"/>
              </w:rPr>
            </w:pPr>
            <w:r>
              <w:rPr>
                <w:rFonts w:hint="eastAsia"/>
                <w:lang w:val="en-US" w:eastAsia="zh-CN"/>
              </w:rPr>
              <w:t>门</w:t>
            </w:r>
          </w:p>
        </w:tc>
        <w:tc>
          <w:tcPr>
            <w:tcW w:w="3033" w:type="dxa"/>
            <w:noWrap/>
            <w:vAlign w:val="center"/>
          </w:tcPr>
          <w:p>
            <w:pPr>
              <w:pStyle w:val="28"/>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046" w:type="dxa"/>
            <w:noWrap/>
            <w:vAlign w:val="center"/>
          </w:tcPr>
          <w:p>
            <w:pPr>
              <w:pStyle w:val="28"/>
            </w:pPr>
            <w:r>
              <w:rPr>
                <w:rFonts w:hint="eastAsia"/>
              </w:rPr>
              <w:t>2</w:t>
            </w:r>
          </w:p>
        </w:tc>
        <w:tc>
          <w:tcPr>
            <w:tcW w:w="2197" w:type="dxa"/>
            <w:noWrap/>
            <w:vAlign w:val="center"/>
          </w:tcPr>
          <w:p>
            <w:pPr>
              <w:pStyle w:val="28"/>
              <w:rPr>
                <w:rFonts w:hint="eastAsia" w:eastAsia="宋体"/>
                <w:lang w:eastAsia="zh-CN"/>
              </w:rPr>
            </w:pPr>
            <w:r>
              <w:rPr>
                <w:rFonts w:hint="eastAsia"/>
                <w:lang w:val="en-US" w:eastAsia="zh-CN"/>
              </w:rPr>
              <w:t>伸缩门</w:t>
            </w:r>
          </w:p>
        </w:tc>
        <w:tc>
          <w:tcPr>
            <w:tcW w:w="990" w:type="dxa"/>
            <w:noWrap/>
            <w:vAlign w:val="center"/>
          </w:tcPr>
          <w:p>
            <w:pPr>
              <w:pStyle w:val="28"/>
            </w:pPr>
            <w:r>
              <w:rPr>
                <w:rFonts w:hint="eastAsia"/>
              </w:rPr>
              <w:t>1</w:t>
            </w:r>
          </w:p>
        </w:tc>
        <w:tc>
          <w:tcPr>
            <w:tcW w:w="960" w:type="dxa"/>
            <w:noWrap/>
            <w:vAlign w:val="center"/>
          </w:tcPr>
          <w:p>
            <w:pPr>
              <w:pStyle w:val="28"/>
              <w:rPr>
                <w:rFonts w:hint="eastAsia" w:eastAsia="宋体"/>
                <w:lang w:eastAsia="zh-CN"/>
              </w:rPr>
            </w:pPr>
            <w:r>
              <w:rPr>
                <w:rFonts w:hint="eastAsia"/>
                <w:lang w:val="en-US" w:eastAsia="zh-CN"/>
              </w:rPr>
              <w:t>门</w:t>
            </w:r>
          </w:p>
        </w:tc>
        <w:tc>
          <w:tcPr>
            <w:tcW w:w="3033" w:type="dxa"/>
            <w:noWrap/>
            <w:vAlign w:val="center"/>
          </w:tcPr>
          <w:p>
            <w:pPr>
              <w:pStyle w:val="28"/>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046" w:type="dxa"/>
            <w:noWrap/>
            <w:vAlign w:val="center"/>
          </w:tcPr>
          <w:p>
            <w:pPr>
              <w:pStyle w:val="28"/>
            </w:pPr>
            <w:r>
              <w:rPr>
                <w:rFonts w:hint="eastAsia"/>
              </w:rPr>
              <w:t>3</w:t>
            </w:r>
          </w:p>
        </w:tc>
        <w:tc>
          <w:tcPr>
            <w:tcW w:w="2197" w:type="dxa"/>
            <w:noWrap/>
            <w:vAlign w:val="center"/>
          </w:tcPr>
          <w:p>
            <w:pPr>
              <w:pStyle w:val="28"/>
              <w:rPr>
                <w:rFonts w:hint="default" w:eastAsia="宋体"/>
                <w:lang w:val="en-US" w:eastAsia="zh-CN"/>
              </w:rPr>
            </w:pPr>
            <w:r>
              <w:rPr>
                <w:rFonts w:hint="eastAsia"/>
                <w:lang w:val="en-US" w:eastAsia="zh-CN"/>
              </w:rPr>
              <w:t>隔离板</w:t>
            </w:r>
          </w:p>
        </w:tc>
        <w:tc>
          <w:tcPr>
            <w:tcW w:w="990" w:type="dxa"/>
            <w:noWrap/>
            <w:vAlign w:val="center"/>
          </w:tcPr>
          <w:p>
            <w:pPr>
              <w:pStyle w:val="28"/>
            </w:pPr>
            <w:r>
              <w:rPr>
                <w:rFonts w:hint="eastAsia"/>
              </w:rPr>
              <w:t>1</w:t>
            </w:r>
          </w:p>
        </w:tc>
        <w:tc>
          <w:tcPr>
            <w:tcW w:w="960" w:type="dxa"/>
            <w:noWrap/>
            <w:vAlign w:val="center"/>
          </w:tcPr>
          <w:p>
            <w:pPr>
              <w:pStyle w:val="28"/>
              <w:rPr>
                <w:rFonts w:hint="eastAsia" w:eastAsia="宋体"/>
                <w:lang w:eastAsia="zh-CN"/>
              </w:rPr>
            </w:pPr>
            <w:r>
              <w:rPr>
                <w:rFonts w:hint="eastAsia"/>
                <w:lang w:val="en-US" w:eastAsia="zh-CN"/>
              </w:rPr>
              <w:t>批</w:t>
            </w:r>
          </w:p>
        </w:tc>
        <w:tc>
          <w:tcPr>
            <w:tcW w:w="3033" w:type="dxa"/>
            <w:noWrap/>
            <w:vAlign w:val="center"/>
          </w:tcPr>
          <w:p>
            <w:pPr>
              <w:pStyle w:val="28"/>
              <w:rPr>
                <w:rFonts w:hint="default" w:eastAsia="宋体"/>
                <w:lang w:val="en-US" w:eastAsia="zh-CN"/>
              </w:rPr>
            </w:pPr>
            <w:r>
              <w:rPr>
                <w:rFonts w:hint="eastAsia"/>
                <w:lang w:val="en-US" w:eastAsia="zh-CN"/>
              </w:rPr>
              <w:t>以现场实际尺寸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046" w:type="dxa"/>
            <w:noWrap/>
            <w:vAlign w:val="center"/>
          </w:tcPr>
          <w:p>
            <w:pPr>
              <w:pStyle w:val="28"/>
              <w:rPr>
                <w:rFonts w:hint="eastAsia" w:eastAsia="宋体"/>
                <w:lang w:val="en-US" w:eastAsia="zh-CN"/>
              </w:rPr>
            </w:pPr>
            <w:r>
              <w:rPr>
                <w:rFonts w:hint="eastAsia"/>
                <w:lang w:val="en-US" w:eastAsia="zh-CN"/>
              </w:rPr>
              <w:t>4</w:t>
            </w:r>
          </w:p>
        </w:tc>
        <w:tc>
          <w:tcPr>
            <w:tcW w:w="2197" w:type="dxa"/>
            <w:noWrap/>
            <w:vAlign w:val="center"/>
          </w:tcPr>
          <w:p>
            <w:pPr>
              <w:pStyle w:val="28"/>
              <w:rPr>
                <w:rFonts w:hint="default"/>
                <w:lang w:val="en-US" w:eastAsia="zh-CN"/>
              </w:rPr>
            </w:pPr>
            <w:r>
              <w:rPr>
                <w:rFonts w:hint="eastAsia"/>
                <w:lang w:val="en-US" w:eastAsia="zh-CN"/>
              </w:rPr>
              <w:t>人员进出卡</w:t>
            </w:r>
          </w:p>
        </w:tc>
        <w:tc>
          <w:tcPr>
            <w:tcW w:w="990" w:type="dxa"/>
            <w:noWrap/>
            <w:vAlign w:val="center"/>
          </w:tcPr>
          <w:p>
            <w:pPr>
              <w:pStyle w:val="28"/>
              <w:rPr>
                <w:rFonts w:hint="default" w:eastAsia="宋体"/>
                <w:lang w:val="en-US" w:eastAsia="zh-CN"/>
              </w:rPr>
            </w:pPr>
            <w:r>
              <w:rPr>
                <w:rFonts w:hint="eastAsia"/>
                <w:lang w:val="en-US" w:eastAsia="zh-CN"/>
              </w:rPr>
              <w:t>300</w:t>
            </w:r>
          </w:p>
        </w:tc>
        <w:tc>
          <w:tcPr>
            <w:tcW w:w="960" w:type="dxa"/>
            <w:noWrap/>
            <w:vAlign w:val="center"/>
          </w:tcPr>
          <w:p>
            <w:pPr>
              <w:pStyle w:val="28"/>
              <w:rPr>
                <w:rFonts w:hint="default"/>
                <w:lang w:val="en-US" w:eastAsia="zh-CN"/>
              </w:rPr>
            </w:pPr>
            <w:r>
              <w:rPr>
                <w:rFonts w:hint="eastAsia"/>
                <w:lang w:val="en-US" w:eastAsia="zh-CN"/>
              </w:rPr>
              <w:t>张</w:t>
            </w:r>
          </w:p>
        </w:tc>
        <w:tc>
          <w:tcPr>
            <w:tcW w:w="3033" w:type="dxa"/>
            <w:noWrap/>
            <w:vAlign w:val="center"/>
          </w:tcPr>
          <w:p>
            <w:pPr>
              <w:pStyle w:val="28"/>
              <w:rPr>
                <w:rFonts w:hint="default"/>
                <w:lang w:val="en-US" w:eastAsia="zh-CN"/>
              </w:rPr>
            </w:pPr>
            <w:r>
              <w:rPr>
                <w:rFonts w:hint="eastAsia"/>
                <w:lang w:val="en-US" w:eastAsia="zh-CN"/>
              </w:rPr>
              <w:t>以实际人数补充</w:t>
            </w:r>
          </w:p>
        </w:tc>
      </w:tr>
    </w:tbl>
    <w:p/>
    <w:sectPr>
      <w:pgSz w:w="11906" w:h="16838"/>
      <w:pgMar w:top="1440" w:right="1800" w:bottom="1440" w:left="1800" w:header="851" w:footer="992" w:gutter="0"/>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B7DC15"/>
    <w:multiLevelType w:val="singleLevel"/>
    <w:tmpl w:val="AAB7DC15"/>
    <w:lvl w:ilvl="0" w:tentative="0">
      <w:start w:val="1"/>
      <w:numFmt w:val="bullet"/>
      <w:lvlText w:val=""/>
      <w:lvlJc w:val="left"/>
      <w:pPr>
        <w:ind w:left="900" w:hanging="420"/>
      </w:pPr>
      <w:rPr>
        <w:rFonts w:hint="default" w:ascii="Wingdings" w:hAnsi="Wingdings"/>
      </w:rPr>
    </w:lvl>
  </w:abstractNum>
  <w:abstractNum w:abstractNumId="1">
    <w:nsid w:val="F94F3A47"/>
    <w:multiLevelType w:val="singleLevel"/>
    <w:tmpl w:val="F94F3A47"/>
    <w:lvl w:ilvl="0" w:tentative="0">
      <w:start w:val="1"/>
      <w:numFmt w:val="bullet"/>
      <w:lvlText w:val=""/>
      <w:lvlJc w:val="left"/>
      <w:pPr>
        <w:ind w:left="420" w:hanging="420"/>
      </w:pPr>
      <w:rPr>
        <w:rFonts w:hint="default" w:ascii="Wingdings" w:hAnsi="Wingdings"/>
      </w:rPr>
    </w:lvl>
  </w:abstractNum>
  <w:abstractNum w:abstractNumId="2">
    <w:nsid w:val="11466387"/>
    <w:multiLevelType w:val="multilevel"/>
    <w:tmpl w:val="11466387"/>
    <w:lvl w:ilvl="0" w:tentative="0">
      <w:start w:val="1"/>
      <w:numFmt w:val="decimal"/>
      <w:pStyle w:val="31"/>
      <w:lvlText w:val="图%1 "/>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16045EF6"/>
    <w:multiLevelType w:val="multilevel"/>
    <w:tmpl w:val="16045EF6"/>
    <w:lvl w:ilvl="0" w:tentative="0">
      <w:start w:val="1"/>
      <w:numFmt w:val="decimal"/>
      <w:pStyle w:val="2"/>
      <w:lvlText w:val="%1"/>
      <w:lvlJc w:val="left"/>
      <w:pPr>
        <w:ind w:left="432" w:hanging="432"/>
      </w:pPr>
    </w:lvl>
    <w:lvl w:ilvl="1" w:tentative="0">
      <w:start w:val="1"/>
      <w:numFmt w:val="decimal"/>
      <w:pStyle w:val="3"/>
      <w:lvlText w:val="%1.%2"/>
      <w:lvlJc w:val="left"/>
      <w:pPr>
        <w:ind w:left="576" w:hanging="576"/>
      </w:pPr>
    </w:lvl>
    <w:lvl w:ilvl="2" w:tentative="0">
      <w:start w:val="1"/>
      <w:numFmt w:val="decimal"/>
      <w:pStyle w:val="4"/>
      <w:lvlText w:val="%1.%2.%3"/>
      <w:lvlJc w:val="left"/>
      <w:pPr>
        <w:ind w:left="720" w:hanging="720"/>
      </w:pPr>
    </w:lvl>
    <w:lvl w:ilvl="3" w:tentative="0">
      <w:start w:val="1"/>
      <w:numFmt w:val="decimal"/>
      <w:pStyle w:val="5"/>
      <w:lvlText w:val="%1.%2.%3.%4"/>
      <w:lvlJc w:val="left"/>
      <w:pPr>
        <w:ind w:left="864" w:hanging="864"/>
      </w:pPr>
    </w:lvl>
    <w:lvl w:ilvl="4" w:tentative="0">
      <w:start w:val="1"/>
      <w:numFmt w:val="decimal"/>
      <w:pStyle w:val="6"/>
      <w:lvlText w:val="%1.%2.%3.%4.%5"/>
      <w:lvlJc w:val="left"/>
      <w:pPr>
        <w:ind w:left="1008" w:hanging="1008"/>
      </w:pPr>
    </w:lvl>
    <w:lvl w:ilvl="5" w:tentative="0">
      <w:start w:val="1"/>
      <w:numFmt w:val="decimal"/>
      <w:pStyle w:val="7"/>
      <w:lvlText w:val="%1.%2.%3.%4.%5.%6"/>
      <w:lvlJc w:val="left"/>
      <w:pPr>
        <w:ind w:left="1152" w:hanging="1152"/>
      </w:pPr>
    </w:lvl>
    <w:lvl w:ilvl="6" w:tentative="0">
      <w:start w:val="1"/>
      <w:numFmt w:val="decimal"/>
      <w:pStyle w:val="8"/>
      <w:lvlText w:val="%1.%2.%3.%4.%5.%6.%7"/>
      <w:lvlJc w:val="left"/>
      <w:pPr>
        <w:ind w:left="1296" w:hanging="1296"/>
      </w:pPr>
    </w:lvl>
    <w:lvl w:ilvl="7" w:tentative="0">
      <w:start w:val="1"/>
      <w:numFmt w:val="decimal"/>
      <w:pStyle w:val="9"/>
      <w:lvlText w:val="%1.%2.%3.%4.%5.%6.%7.%8"/>
      <w:lvlJc w:val="left"/>
      <w:pPr>
        <w:ind w:left="1440" w:hanging="1440"/>
      </w:pPr>
    </w:lvl>
    <w:lvl w:ilvl="8" w:tentative="0">
      <w:start w:val="1"/>
      <w:numFmt w:val="decimal"/>
      <w:pStyle w:val="10"/>
      <w:lvlText w:val="%1.%2.%3.%4.%5.%6.%7.%8.%9"/>
      <w:lvlJc w:val="left"/>
      <w:pPr>
        <w:ind w:left="1584" w:hanging="1584"/>
      </w:pPr>
    </w:lvl>
  </w:abstractNum>
  <w:abstractNum w:abstractNumId="4">
    <w:nsid w:val="220008A4"/>
    <w:multiLevelType w:val="multilevel"/>
    <w:tmpl w:val="220008A4"/>
    <w:lvl w:ilvl="0" w:tentative="0">
      <w:start w:val="1"/>
      <w:numFmt w:val="decimal"/>
      <w:pStyle w:val="34"/>
      <w:lvlText w:val="表%1 "/>
      <w:lvlJc w:val="left"/>
      <w:pPr>
        <w:ind w:left="440" w:hanging="440"/>
      </w:pPr>
      <w:rPr>
        <w:rFonts w:hint="eastAsia"/>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abstractNum w:abstractNumId="5">
    <w:nsid w:val="3F50186B"/>
    <w:multiLevelType w:val="multilevel"/>
    <w:tmpl w:val="3F50186B"/>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6">
    <w:nsid w:val="685892F2"/>
    <w:multiLevelType w:val="singleLevel"/>
    <w:tmpl w:val="685892F2"/>
    <w:lvl w:ilvl="0" w:tentative="0">
      <w:start w:val="1"/>
      <w:numFmt w:val="bullet"/>
      <w:lvlText w:val=""/>
      <w:lvlJc w:val="left"/>
      <w:pPr>
        <w:ind w:left="900" w:hanging="420"/>
      </w:pPr>
      <w:rPr>
        <w:rFonts w:hint="default" w:ascii="Wingdings" w:hAnsi="Wingdings"/>
      </w:rPr>
    </w:lvl>
  </w:abstractNum>
  <w:num w:numId="1">
    <w:abstractNumId w:val="3"/>
  </w:num>
  <w:num w:numId="2">
    <w:abstractNumId w:val="4"/>
  </w:num>
  <w:num w:numId="3">
    <w:abstractNumId w:val="2"/>
  </w:num>
  <w:num w:numId="4">
    <w:abstractNumId w:val="1"/>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FkM2RmMTMxNDdjMjAxYmI2ZjExMDcxMmJmZGViNzcifQ=="/>
  </w:docVars>
  <w:rsids>
    <w:rsidRoot w:val="00F57161"/>
    <w:rsid w:val="000078DB"/>
    <w:rsid w:val="00013E4E"/>
    <w:rsid w:val="000259E3"/>
    <w:rsid w:val="00026539"/>
    <w:rsid w:val="00047B90"/>
    <w:rsid w:val="000509BF"/>
    <w:rsid w:val="000519BA"/>
    <w:rsid w:val="000612E5"/>
    <w:rsid w:val="00064508"/>
    <w:rsid w:val="00073ED6"/>
    <w:rsid w:val="00077891"/>
    <w:rsid w:val="00095121"/>
    <w:rsid w:val="000A213A"/>
    <w:rsid w:val="000B0E67"/>
    <w:rsid w:val="000B13B1"/>
    <w:rsid w:val="000B3B00"/>
    <w:rsid w:val="000B64C3"/>
    <w:rsid w:val="000C4751"/>
    <w:rsid w:val="000C676C"/>
    <w:rsid w:val="000F320B"/>
    <w:rsid w:val="00100BC9"/>
    <w:rsid w:val="00100F0D"/>
    <w:rsid w:val="00101369"/>
    <w:rsid w:val="001019B0"/>
    <w:rsid w:val="00101F2E"/>
    <w:rsid w:val="00105F81"/>
    <w:rsid w:val="00106684"/>
    <w:rsid w:val="00127A49"/>
    <w:rsid w:val="00133E3F"/>
    <w:rsid w:val="00145E81"/>
    <w:rsid w:val="00151810"/>
    <w:rsid w:val="0015329E"/>
    <w:rsid w:val="001561A8"/>
    <w:rsid w:val="00157BB1"/>
    <w:rsid w:val="0016534D"/>
    <w:rsid w:val="00167DE1"/>
    <w:rsid w:val="0017002C"/>
    <w:rsid w:val="00171C16"/>
    <w:rsid w:val="00171DBD"/>
    <w:rsid w:val="00181CD0"/>
    <w:rsid w:val="00187144"/>
    <w:rsid w:val="001A5DB4"/>
    <w:rsid w:val="001B1080"/>
    <w:rsid w:val="001B676E"/>
    <w:rsid w:val="001C0A53"/>
    <w:rsid w:val="001C46C9"/>
    <w:rsid w:val="001D2CB9"/>
    <w:rsid w:val="001E098A"/>
    <w:rsid w:val="001E1740"/>
    <w:rsid w:val="001E4923"/>
    <w:rsid w:val="001E4B5E"/>
    <w:rsid w:val="00207C37"/>
    <w:rsid w:val="00213C11"/>
    <w:rsid w:val="00214176"/>
    <w:rsid w:val="00214E3B"/>
    <w:rsid w:val="00222FEE"/>
    <w:rsid w:val="00226A56"/>
    <w:rsid w:val="00245C6E"/>
    <w:rsid w:val="00253B74"/>
    <w:rsid w:val="002617D1"/>
    <w:rsid w:val="00264921"/>
    <w:rsid w:val="002664EF"/>
    <w:rsid w:val="00266B16"/>
    <w:rsid w:val="00273D53"/>
    <w:rsid w:val="00277A9F"/>
    <w:rsid w:val="00285E75"/>
    <w:rsid w:val="002B3898"/>
    <w:rsid w:val="002C209C"/>
    <w:rsid w:val="002E5366"/>
    <w:rsid w:val="002F44ED"/>
    <w:rsid w:val="00300374"/>
    <w:rsid w:val="003012AD"/>
    <w:rsid w:val="003172AF"/>
    <w:rsid w:val="00332628"/>
    <w:rsid w:val="00340416"/>
    <w:rsid w:val="00346A50"/>
    <w:rsid w:val="00350DD3"/>
    <w:rsid w:val="00351E03"/>
    <w:rsid w:val="003523CB"/>
    <w:rsid w:val="003532C1"/>
    <w:rsid w:val="00372BEE"/>
    <w:rsid w:val="00386322"/>
    <w:rsid w:val="00387E40"/>
    <w:rsid w:val="003D65AD"/>
    <w:rsid w:val="003E401F"/>
    <w:rsid w:val="003F3F14"/>
    <w:rsid w:val="00403929"/>
    <w:rsid w:val="00407AD3"/>
    <w:rsid w:val="00417023"/>
    <w:rsid w:val="00432014"/>
    <w:rsid w:val="00433A17"/>
    <w:rsid w:val="0044273B"/>
    <w:rsid w:val="00454E17"/>
    <w:rsid w:val="00467A1B"/>
    <w:rsid w:val="004730A7"/>
    <w:rsid w:val="0047446F"/>
    <w:rsid w:val="004828D4"/>
    <w:rsid w:val="00494D69"/>
    <w:rsid w:val="004A19E1"/>
    <w:rsid w:val="004A6CEC"/>
    <w:rsid w:val="004C123B"/>
    <w:rsid w:val="004D1826"/>
    <w:rsid w:val="004E05C8"/>
    <w:rsid w:val="004E4302"/>
    <w:rsid w:val="004E67EE"/>
    <w:rsid w:val="004E71DB"/>
    <w:rsid w:val="004E78F1"/>
    <w:rsid w:val="004F6843"/>
    <w:rsid w:val="00504A18"/>
    <w:rsid w:val="00506109"/>
    <w:rsid w:val="0051033E"/>
    <w:rsid w:val="0051711A"/>
    <w:rsid w:val="005201C2"/>
    <w:rsid w:val="005242D9"/>
    <w:rsid w:val="00535D60"/>
    <w:rsid w:val="005369D1"/>
    <w:rsid w:val="005447FD"/>
    <w:rsid w:val="00544F52"/>
    <w:rsid w:val="00550C4A"/>
    <w:rsid w:val="00561F55"/>
    <w:rsid w:val="00585E59"/>
    <w:rsid w:val="005904DB"/>
    <w:rsid w:val="00590F40"/>
    <w:rsid w:val="00593D50"/>
    <w:rsid w:val="005A08B5"/>
    <w:rsid w:val="005B09FF"/>
    <w:rsid w:val="005B1E33"/>
    <w:rsid w:val="005D2AD9"/>
    <w:rsid w:val="005E5150"/>
    <w:rsid w:val="005F01A4"/>
    <w:rsid w:val="006045CF"/>
    <w:rsid w:val="006112BE"/>
    <w:rsid w:val="0061146F"/>
    <w:rsid w:val="006219CA"/>
    <w:rsid w:val="00625381"/>
    <w:rsid w:val="00625E34"/>
    <w:rsid w:val="006412C5"/>
    <w:rsid w:val="006422F2"/>
    <w:rsid w:val="006469C7"/>
    <w:rsid w:val="00656CA9"/>
    <w:rsid w:val="00674480"/>
    <w:rsid w:val="00675851"/>
    <w:rsid w:val="00676E23"/>
    <w:rsid w:val="006857AA"/>
    <w:rsid w:val="0068750B"/>
    <w:rsid w:val="006946A2"/>
    <w:rsid w:val="00695A44"/>
    <w:rsid w:val="006A1BA4"/>
    <w:rsid w:val="006B0F7D"/>
    <w:rsid w:val="006B2B6E"/>
    <w:rsid w:val="006B6255"/>
    <w:rsid w:val="006E0391"/>
    <w:rsid w:val="006F05BA"/>
    <w:rsid w:val="006F09C7"/>
    <w:rsid w:val="00705B25"/>
    <w:rsid w:val="0070759D"/>
    <w:rsid w:val="0071064C"/>
    <w:rsid w:val="00723D96"/>
    <w:rsid w:val="007262C1"/>
    <w:rsid w:val="007323CF"/>
    <w:rsid w:val="00736C5F"/>
    <w:rsid w:val="00751F9E"/>
    <w:rsid w:val="00757F32"/>
    <w:rsid w:val="0076324C"/>
    <w:rsid w:val="007726AA"/>
    <w:rsid w:val="00791D02"/>
    <w:rsid w:val="00796850"/>
    <w:rsid w:val="00797052"/>
    <w:rsid w:val="007A3A48"/>
    <w:rsid w:val="007B1C53"/>
    <w:rsid w:val="007D5F2C"/>
    <w:rsid w:val="007D76E8"/>
    <w:rsid w:val="007E6AF0"/>
    <w:rsid w:val="007E7213"/>
    <w:rsid w:val="007F24C2"/>
    <w:rsid w:val="008235A9"/>
    <w:rsid w:val="008322E4"/>
    <w:rsid w:val="008334F4"/>
    <w:rsid w:val="0083537B"/>
    <w:rsid w:val="0085049C"/>
    <w:rsid w:val="00851CE6"/>
    <w:rsid w:val="0085661A"/>
    <w:rsid w:val="00863397"/>
    <w:rsid w:val="0087597A"/>
    <w:rsid w:val="008850CC"/>
    <w:rsid w:val="008A31FE"/>
    <w:rsid w:val="008C231A"/>
    <w:rsid w:val="008F1E7E"/>
    <w:rsid w:val="008F3D38"/>
    <w:rsid w:val="00900D7E"/>
    <w:rsid w:val="0090788E"/>
    <w:rsid w:val="00913E95"/>
    <w:rsid w:val="00914143"/>
    <w:rsid w:val="00914C46"/>
    <w:rsid w:val="00915ED1"/>
    <w:rsid w:val="009238C5"/>
    <w:rsid w:val="00923A78"/>
    <w:rsid w:val="00926D7B"/>
    <w:rsid w:val="00941930"/>
    <w:rsid w:val="00951677"/>
    <w:rsid w:val="00956AAD"/>
    <w:rsid w:val="009663A6"/>
    <w:rsid w:val="00977D34"/>
    <w:rsid w:val="009841C3"/>
    <w:rsid w:val="00984A2D"/>
    <w:rsid w:val="00993DD2"/>
    <w:rsid w:val="009A1462"/>
    <w:rsid w:val="009A245E"/>
    <w:rsid w:val="009A3017"/>
    <w:rsid w:val="009B0B76"/>
    <w:rsid w:val="009B5C70"/>
    <w:rsid w:val="009B7CAB"/>
    <w:rsid w:val="009C47DE"/>
    <w:rsid w:val="009D5A78"/>
    <w:rsid w:val="009F5543"/>
    <w:rsid w:val="00A16A60"/>
    <w:rsid w:val="00A2615F"/>
    <w:rsid w:val="00A40022"/>
    <w:rsid w:val="00A467FA"/>
    <w:rsid w:val="00A549D3"/>
    <w:rsid w:val="00A5585A"/>
    <w:rsid w:val="00A6194B"/>
    <w:rsid w:val="00A61FB6"/>
    <w:rsid w:val="00A635E2"/>
    <w:rsid w:val="00A7631D"/>
    <w:rsid w:val="00A84775"/>
    <w:rsid w:val="00AA09F8"/>
    <w:rsid w:val="00AB0E6B"/>
    <w:rsid w:val="00AB22EF"/>
    <w:rsid w:val="00AB6395"/>
    <w:rsid w:val="00AD4794"/>
    <w:rsid w:val="00AD4F66"/>
    <w:rsid w:val="00AE3D6F"/>
    <w:rsid w:val="00AF57FA"/>
    <w:rsid w:val="00B02091"/>
    <w:rsid w:val="00B130FE"/>
    <w:rsid w:val="00B322E5"/>
    <w:rsid w:val="00B37857"/>
    <w:rsid w:val="00B42C9E"/>
    <w:rsid w:val="00B43704"/>
    <w:rsid w:val="00B461A0"/>
    <w:rsid w:val="00B50F30"/>
    <w:rsid w:val="00B567F0"/>
    <w:rsid w:val="00B6169B"/>
    <w:rsid w:val="00B63D1C"/>
    <w:rsid w:val="00B90117"/>
    <w:rsid w:val="00B93EF1"/>
    <w:rsid w:val="00B941AC"/>
    <w:rsid w:val="00BA02AF"/>
    <w:rsid w:val="00BB55A4"/>
    <w:rsid w:val="00BB5BC7"/>
    <w:rsid w:val="00BB73F1"/>
    <w:rsid w:val="00BD0344"/>
    <w:rsid w:val="00BE0041"/>
    <w:rsid w:val="00C13E76"/>
    <w:rsid w:val="00C17A89"/>
    <w:rsid w:val="00C54740"/>
    <w:rsid w:val="00C54EC5"/>
    <w:rsid w:val="00C723EB"/>
    <w:rsid w:val="00C80F68"/>
    <w:rsid w:val="00C82383"/>
    <w:rsid w:val="00C84A18"/>
    <w:rsid w:val="00C941C4"/>
    <w:rsid w:val="00C95B8C"/>
    <w:rsid w:val="00CA52E1"/>
    <w:rsid w:val="00CB05B4"/>
    <w:rsid w:val="00CB2207"/>
    <w:rsid w:val="00CB2A1B"/>
    <w:rsid w:val="00CB55A1"/>
    <w:rsid w:val="00CB66B2"/>
    <w:rsid w:val="00CB6F13"/>
    <w:rsid w:val="00CB77F7"/>
    <w:rsid w:val="00CC1C10"/>
    <w:rsid w:val="00CC7129"/>
    <w:rsid w:val="00CC7E97"/>
    <w:rsid w:val="00CE0364"/>
    <w:rsid w:val="00CF7E60"/>
    <w:rsid w:val="00D045C2"/>
    <w:rsid w:val="00D054CF"/>
    <w:rsid w:val="00D07AAE"/>
    <w:rsid w:val="00D13471"/>
    <w:rsid w:val="00D21E61"/>
    <w:rsid w:val="00D22944"/>
    <w:rsid w:val="00D26C82"/>
    <w:rsid w:val="00D3103F"/>
    <w:rsid w:val="00D36013"/>
    <w:rsid w:val="00D47BA1"/>
    <w:rsid w:val="00D57EA9"/>
    <w:rsid w:val="00D66B42"/>
    <w:rsid w:val="00D66E97"/>
    <w:rsid w:val="00DB369B"/>
    <w:rsid w:val="00DB448F"/>
    <w:rsid w:val="00DC0B66"/>
    <w:rsid w:val="00DC388C"/>
    <w:rsid w:val="00DC5DCF"/>
    <w:rsid w:val="00DD743F"/>
    <w:rsid w:val="00DD7472"/>
    <w:rsid w:val="00E07541"/>
    <w:rsid w:val="00E13E50"/>
    <w:rsid w:val="00E214D8"/>
    <w:rsid w:val="00E23021"/>
    <w:rsid w:val="00E310A1"/>
    <w:rsid w:val="00E3541D"/>
    <w:rsid w:val="00E43756"/>
    <w:rsid w:val="00E5136B"/>
    <w:rsid w:val="00E6227F"/>
    <w:rsid w:val="00E64084"/>
    <w:rsid w:val="00E6752C"/>
    <w:rsid w:val="00E711DB"/>
    <w:rsid w:val="00E76B5C"/>
    <w:rsid w:val="00E82682"/>
    <w:rsid w:val="00E82CF7"/>
    <w:rsid w:val="00E839C7"/>
    <w:rsid w:val="00EA1B4F"/>
    <w:rsid w:val="00EA4A4F"/>
    <w:rsid w:val="00EC0D6D"/>
    <w:rsid w:val="00EC5396"/>
    <w:rsid w:val="00EC6749"/>
    <w:rsid w:val="00ED656E"/>
    <w:rsid w:val="00ED7086"/>
    <w:rsid w:val="00EE1A9B"/>
    <w:rsid w:val="00EE1A9C"/>
    <w:rsid w:val="00EE1C0E"/>
    <w:rsid w:val="00EE5A51"/>
    <w:rsid w:val="00EF1AAB"/>
    <w:rsid w:val="00F0637C"/>
    <w:rsid w:val="00F14730"/>
    <w:rsid w:val="00F16E2A"/>
    <w:rsid w:val="00F20DDB"/>
    <w:rsid w:val="00F240F5"/>
    <w:rsid w:val="00F24735"/>
    <w:rsid w:val="00F345FB"/>
    <w:rsid w:val="00F36FAC"/>
    <w:rsid w:val="00F37671"/>
    <w:rsid w:val="00F37B7F"/>
    <w:rsid w:val="00F46BD6"/>
    <w:rsid w:val="00F472A4"/>
    <w:rsid w:val="00F56F89"/>
    <w:rsid w:val="00F57161"/>
    <w:rsid w:val="00F578CD"/>
    <w:rsid w:val="00F63242"/>
    <w:rsid w:val="00F716AC"/>
    <w:rsid w:val="00F8017B"/>
    <w:rsid w:val="00F81B9D"/>
    <w:rsid w:val="00F85016"/>
    <w:rsid w:val="00F85CB7"/>
    <w:rsid w:val="00F92028"/>
    <w:rsid w:val="00F93C12"/>
    <w:rsid w:val="00FA5530"/>
    <w:rsid w:val="00FB11CF"/>
    <w:rsid w:val="00FD3024"/>
    <w:rsid w:val="02687C83"/>
    <w:rsid w:val="17E3274D"/>
    <w:rsid w:val="29F405DF"/>
    <w:rsid w:val="2A5601FE"/>
    <w:rsid w:val="39CF21F8"/>
    <w:rsid w:val="67A04711"/>
    <w:rsid w:val="7C9703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仿宋" w:cstheme="minorBidi"/>
      <w:kern w:val="2"/>
      <w:sz w:val="32"/>
      <w:szCs w:val="22"/>
      <w:lang w:val="en-US" w:eastAsia="zh-CN" w:bidi="ar-SA"/>
    </w:rPr>
  </w:style>
  <w:style w:type="paragraph" w:styleId="2">
    <w:name w:val="heading 1"/>
    <w:basedOn w:val="1"/>
    <w:next w:val="1"/>
    <w:link w:val="18"/>
    <w:qFormat/>
    <w:uiPriority w:val="9"/>
    <w:pPr>
      <w:keepNext/>
      <w:keepLines/>
      <w:numPr>
        <w:ilvl w:val="0"/>
        <w:numId w:val="1"/>
      </w:numPr>
      <w:spacing w:before="340" w:after="330" w:line="578" w:lineRule="auto"/>
      <w:outlineLvl w:val="0"/>
    </w:pPr>
    <w:rPr>
      <w:rFonts w:eastAsia="黑体"/>
      <w:b/>
      <w:bCs/>
      <w:kern w:val="44"/>
      <w:sz w:val="36"/>
      <w:szCs w:val="44"/>
    </w:rPr>
  </w:style>
  <w:style w:type="paragraph" w:styleId="3">
    <w:name w:val="heading 2"/>
    <w:basedOn w:val="1"/>
    <w:next w:val="1"/>
    <w:link w:val="19"/>
    <w:unhideWhenUsed/>
    <w:qFormat/>
    <w:uiPriority w:val="9"/>
    <w:pPr>
      <w:keepNext/>
      <w:keepLines/>
      <w:numPr>
        <w:ilvl w:val="1"/>
        <w:numId w:val="1"/>
      </w:numPr>
      <w:spacing w:before="260" w:after="260" w:line="416" w:lineRule="auto"/>
      <w:outlineLvl w:val="1"/>
    </w:pPr>
    <w:rPr>
      <w:rFonts w:asciiTheme="majorHAnsi" w:hAnsiTheme="majorHAnsi" w:eastAsiaTheme="majorEastAsia" w:cstheme="majorBidi"/>
      <w:b/>
      <w:bCs/>
      <w:szCs w:val="32"/>
    </w:rPr>
  </w:style>
  <w:style w:type="paragraph" w:styleId="4">
    <w:name w:val="heading 3"/>
    <w:basedOn w:val="1"/>
    <w:next w:val="1"/>
    <w:link w:val="20"/>
    <w:unhideWhenUsed/>
    <w:qFormat/>
    <w:uiPriority w:val="9"/>
    <w:pPr>
      <w:keepNext/>
      <w:keepLines/>
      <w:numPr>
        <w:ilvl w:val="2"/>
        <w:numId w:val="1"/>
      </w:numPr>
      <w:spacing w:before="260" w:after="260" w:line="416" w:lineRule="auto"/>
      <w:outlineLvl w:val="2"/>
    </w:pPr>
    <w:rPr>
      <w:b/>
      <w:bCs/>
      <w:szCs w:val="32"/>
    </w:rPr>
  </w:style>
  <w:style w:type="paragraph" w:styleId="5">
    <w:name w:val="heading 4"/>
    <w:basedOn w:val="1"/>
    <w:next w:val="1"/>
    <w:link w:val="21"/>
    <w:unhideWhenUsed/>
    <w:qFormat/>
    <w:uiPriority w:val="9"/>
    <w:pPr>
      <w:keepNext/>
      <w:keepLines/>
      <w:numPr>
        <w:ilvl w:val="3"/>
        <w:numId w:val="1"/>
      </w:numPr>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2"/>
    <w:semiHidden/>
    <w:unhideWhenUsed/>
    <w:qFormat/>
    <w:uiPriority w:val="9"/>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23"/>
    <w:semiHidden/>
    <w:unhideWhenUsed/>
    <w:qFormat/>
    <w:uiPriority w:val="9"/>
    <w:pPr>
      <w:keepNext/>
      <w:keepLines/>
      <w:numPr>
        <w:ilvl w:val="5"/>
        <w:numId w:val="1"/>
      </w:numPr>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4"/>
    <w:semiHidden/>
    <w:unhideWhenUsed/>
    <w:qFormat/>
    <w:uiPriority w:val="9"/>
    <w:pPr>
      <w:keepNext/>
      <w:keepLines/>
      <w:numPr>
        <w:ilvl w:val="6"/>
        <w:numId w:val="1"/>
      </w:numPr>
      <w:spacing w:before="240" w:after="64" w:line="320" w:lineRule="auto"/>
      <w:outlineLvl w:val="6"/>
    </w:pPr>
    <w:rPr>
      <w:b/>
      <w:bCs/>
      <w:sz w:val="24"/>
      <w:szCs w:val="24"/>
    </w:rPr>
  </w:style>
  <w:style w:type="paragraph" w:styleId="9">
    <w:name w:val="heading 8"/>
    <w:basedOn w:val="1"/>
    <w:next w:val="1"/>
    <w:link w:val="25"/>
    <w:semiHidden/>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 w:val="24"/>
      <w:szCs w:val="24"/>
    </w:rPr>
  </w:style>
  <w:style w:type="paragraph" w:styleId="10">
    <w:name w:val="heading 9"/>
    <w:basedOn w:val="1"/>
    <w:next w:val="1"/>
    <w:link w:val="26"/>
    <w:semiHidden/>
    <w:unhideWhenUsed/>
    <w:qFormat/>
    <w:uiPriority w:val="9"/>
    <w:pPr>
      <w:keepNext/>
      <w:keepLines/>
      <w:numPr>
        <w:ilvl w:val="8"/>
        <w:numId w:val="1"/>
      </w:numPr>
      <w:spacing w:before="240" w:after="64" w:line="320" w:lineRule="auto"/>
      <w:outlineLvl w:val="8"/>
    </w:pPr>
    <w:rPr>
      <w:rFonts w:asciiTheme="majorHAnsi" w:hAnsiTheme="majorHAnsi" w:eastAsiaTheme="majorEastAsia" w:cstheme="majorBidi"/>
      <w:sz w:val="21"/>
      <w:szCs w:val="21"/>
    </w:rPr>
  </w:style>
  <w:style w:type="character" w:default="1" w:styleId="15">
    <w:name w:val="Default Paragraph Font"/>
    <w:semiHidden/>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11">
    <w:name w:val="footer"/>
    <w:basedOn w:val="1"/>
    <w:link w:val="17"/>
    <w:unhideWhenUsed/>
    <w:uiPriority w:val="99"/>
    <w:pPr>
      <w:tabs>
        <w:tab w:val="center" w:pos="4153"/>
        <w:tab w:val="right" w:pos="8306"/>
      </w:tabs>
      <w:snapToGrid w:val="0"/>
      <w:jc w:val="left"/>
    </w:pPr>
    <w:rPr>
      <w:sz w:val="18"/>
      <w:szCs w:val="18"/>
    </w:rPr>
  </w:style>
  <w:style w:type="paragraph" w:styleId="12">
    <w:name w:val="header"/>
    <w:basedOn w:val="1"/>
    <w:link w:val="16"/>
    <w:unhideWhenUsed/>
    <w:uiPriority w:val="99"/>
    <w:pPr>
      <w:pBdr>
        <w:bottom w:val="single" w:color="auto" w:sz="6" w:space="1"/>
      </w:pBdr>
      <w:tabs>
        <w:tab w:val="center" w:pos="4153"/>
        <w:tab w:val="right" w:pos="8306"/>
      </w:tabs>
      <w:snapToGrid w:val="0"/>
      <w:jc w:val="center"/>
    </w:pPr>
    <w:rPr>
      <w:sz w:val="18"/>
      <w:szCs w:val="18"/>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页眉 字符"/>
    <w:basedOn w:val="15"/>
    <w:link w:val="12"/>
    <w:qFormat/>
    <w:uiPriority w:val="99"/>
    <w:rPr>
      <w:sz w:val="18"/>
      <w:szCs w:val="18"/>
    </w:rPr>
  </w:style>
  <w:style w:type="character" w:customStyle="1" w:styleId="17">
    <w:name w:val="页脚 字符"/>
    <w:basedOn w:val="15"/>
    <w:link w:val="11"/>
    <w:uiPriority w:val="99"/>
    <w:rPr>
      <w:sz w:val="18"/>
      <w:szCs w:val="18"/>
    </w:rPr>
  </w:style>
  <w:style w:type="character" w:customStyle="1" w:styleId="18">
    <w:name w:val="标题 1 字符"/>
    <w:basedOn w:val="15"/>
    <w:link w:val="2"/>
    <w:uiPriority w:val="9"/>
    <w:rPr>
      <w:rFonts w:ascii="Arial" w:hAnsi="Arial" w:eastAsia="黑体"/>
      <w:b/>
      <w:bCs/>
      <w:kern w:val="44"/>
      <w:sz w:val="36"/>
      <w:szCs w:val="44"/>
    </w:rPr>
  </w:style>
  <w:style w:type="character" w:customStyle="1" w:styleId="19">
    <w:name w:val="标题 2 字符"/>
    <w:basedOn w:val="15"/>
    <w:link w:val="3"/>
    <w:uiPriority w:val="9"/>
    <w:rPr>
      <w:rFonts w:asciiTheme="majorHAnsi" w:hAnsiTheme="majorHAnsi" w:eastAsiaTheme="majorEastAsia" w:cstheme="majorBidi"/>
      <w:b/>
      <w:bCs/>
      <w:sz w:val="32"/>
      <w:szCs w:val="32"/>
    </w:rPr>
  </w:style>
  <w:style w:type="character" w:customStyle="1" w:styleId="20">
    <w:name w:val="标题 3 字符"/>
    <w:basedOn w:val="15"/>
    <w:link w:val="4"/>
    <w:qFormat/>
    <w:uiPriority w:val="9"/>
    <w:rPr>
      <w:rFonts w:ascii="Arial" w:hAnsi="Arial" w:eastAsia="仿宋"/>
      <w:b/>
      <w:bCs/>
      <w:sz w:val="32"/>
      <w:szCs w:val="32"/>
    </w:rPr>
  </w:style>
  <w:style w:type="character" w:customStyle="1" w:styleId="21">
    <w:name w:val="标题 4 字符"/>
    <w:basedOn w:val="15"/>
    <w:link w:val="5"/>
    <w:qFormat/>
    <w:uiPriority w:val="9"/>
    <w:rPr>
      <w:rFonts w:asciiTheme="majorHAnsi" w:hAnsiTheme="majorHAnsi" w:eastAsiaTheme="majorEastAsia" w:cstheme="majorBidi"/>
      <w:b/>
      <w:bCs/>
      <w:sz w:val="28"/>
      <w:szCs w:val="28"/>
    </w:rPr>
  </w:style>
  <w:style w:type="character" w:customStyle="1" w:styleId="22">
    <w:name w:val="标题 5 字符"/>
    <w:basedOn w:val="15"/>
    <w:link w:val="6"/>
    <w:semiHidden/>
    <w:uiPriority w:val="9"/>
    <w:rPr>
      <w:rFonts w:ascii="Arial" w:hAnsi="Arial" w:eastAsia="仿宋_GB2312"/>
      <w:b/>
      <w:bCs/>
      <w:sz w:val="28"/>
      <w:szCs w:val="28"/>
    </w:rPr>
  </w:style>
  <w:style w:type="character" w:customStyle="1" w:styleId="23">
    <w:name w:val="标题 6 字符"/>
    <w:basedOn w:val="15"/>
    <w:link w:val="7"/>
    <w:semiHidden/>
    <w:uiPriority w:val="9"/>
    <w:rPr>
      <w:rFonts w:asciiTheme="majorHAnsi" w:hAnsiTheme="majorHAnsi" w:eastAsiaTheme="majorEastAsia" w:cstheme="majorBidi"/>
      <w:b/>
      <w:bCs/>
      <w:sz w:val="24"/>
      <w:szCs w:val="24"/>
    </w:rPr>
  </w:style>
  <w:style w:type="character" w:customStyle="1" w:styleId="24">
    <w:name w:val="标题 7 字符"/>
    <w:basedOn w:val="15"/>
    <w:link w:val="8"/>
    <w:semiHidden/>
    <w:uiPriority w:val="9"/>
    <w:rPr>
      <w:rFonts w:ascii="Arial" w:hAnsi="Arial" w:eastAsia="仿宋_GB2312"/>
      <w:b/>
      <w:bCs/>
      <w:sz w:val="24"/>
      <w:szCs w:val="24"/>
    </w:rPr>
  </w:style>
  <w:style w:type="character" w:customStyle="1" w:styleId="25">
    <w:name w:val="标题 8 字符"/>
    <w:basedOn w:val="15"/>
    <w:link w:val="9"/>
    <w:semiHidden/>
    <w:uiPriority w:val="9"/>
    <w:rPr>
      <w:rFonts w:asciiTheme="majorHAnsi" w:hAnsiTheme="majorHAnsi" w:eastAsiaTheme="majorEastAsia" w:cstheme="majorBidi"/>
      <w:sz w:val="24"/>
      <w:szCs w:val="24"/>
    </w:rPr>
  </w:style>
  <w:style w:type="character" w:customStyle="1" w:styleId="26">
    <w:name w:val="标题 9 字符"/>
    <w:basedOn w:val="15"/>
    <w:link w:val="10"/>
    <w:semiHidden/>
    <w:uiPriority w:val="9"/>
    <w:rPr>
      <w:rFonts w:asciiTheme="majorHAnsi" w:hAnsiTheme="majorHAnsi" w:eastAsiaTheme="majorEastAsia" w:cstheme="majorBidi"/>
      <w:szCs w:val="21"/>
    </w:rPr>
  </w:style>
  <w:style w:type="paragraph" w:customStyle="1" w:styleId="27">
    <w:name w:val="表格标题"/>
    <w:basedOn w:val="1"/>
    <w:next w:val="1"/>
    <w:link w:val="29"/>
    <w:qFormat/>
    <w:uiPriority w:val="0"/>
    <w:pPr>
      <w:numPr>
        <w:ilvl w:val="0"/>
        <w:numId w:val="2"/>
      </w:numPr>
      <w:spacing w:before="50" w:beforeLines="50"/>
      <w:ind w:left="0" w:firstLine="0"/>
      <w:jc w:val="center"/>
    </w:pPr>
    <w:rPr>
      <w:rFonts w:eastAsia="黑体"/>
      <w:b/>
      <w:sz w:val="24"/>
    </w:rPr>
  </w:style>
  <w:style w:type="paragraph" w:customStyle="1" w:styleId="28">
    <w:name w:val="表格内容"/>
    <w:basedOn w:val="1"/>
    <w:link w:val="30"/>
    <w:qFormat/>
    <w:uiPriority w:val="0"/>
    <w:pPr>
      <w:jc w:val="center"/>
    </w:pPr>
    <w:rPr>
      <w:rFonts w:eastAsia="宋体"/>
      <w:sz w:val="24"/>
    </w:rPr>
  </w:style>
  <w:style w:type="character" w:customStyle="1" w:styleId="29">
    <w:name w:val="表格标题 字符"/>
    <w:basedOn w:val="15"/>
    <w:link w:val="27"/>
    <w:uiPriority w:val="0"/>
    <w:rPr>
      <w:rFonts w:ascii="Arial" w:hAnsi="Arial" w:eastAsia="黑体"/>
      <w:b/>
      <w:sz w:val="24"/>
    </w:rPr>
  </w:style>
  <w:style w:type="character" w:customStyle="1" w:styleId="30">
    <w:name w:val="表格内容 字符"/>
    <w:basedOn w:val="29"/>
    <w:link w:val="28"/>
    <w:uiPriority w:val="0"/>
    <w:rPr>
      <w:rFonts w:ascii="Arial" w:hAnsi="Arial" w:eastAsia="宋体"/>
      <w:b w:val="0"/>
      <w:sz w:val="24"/>
    </w:rPr>
  </w:style>
  <w:style w:type="paragraph" w:customStyle="1" w:styleId="31">
    <w:name w:val="图片标题"/>
    <w:basedOn w:val="1"/>
    <w:next w:val="1"/>
    <w:link w:val="32"/>
    <w:qFormat/>
    <w:uiPriority w:val="0"/>
    <w:pPr>
      <w:numPr>
        <w:ilvl w:val="0"/>
        <w:numId w:val="3"/>
      </w:numPr>
      <w:ind w:left="442" w:hanging="442"/>
      <w:jc w:val="center"/>
    </w:pPr>
    <w:rPr>
      <w:rFonts w:eastAsia="黑体"/>
      <w:b/>
      <w:sz w:val="24"/>
    </w:rPr>
  </w:style>
  <w:style w:type="character" w:customStyle="1" w:styleId="32">
    <w:name w:val="图片标题 字符"/>
    <w:basedOn w:val="15"/>
    <w:link w:val="31"/>
    <w:uiPriority w:val="0"/>
    <w:rPr>
      <w:rFonts w:ascii="Arial" w:hAnsi="Arial" w:eastAsia="黑体"/>
      <w:b/>
      <w:sz w:val="24"/>
    </w:rPr>
  </w:style>
  <w:style w:type="paragraph" w:styleId="33">
    <w:name w:val="List Paragraph"/>
    <w:basedOn w:val="1"/>
    <w:qFormat/>
    <w:uiPriority w:val="34"/>
    <w:pPr>
      <w:ind w:firstLine="420" w:firstLineChars="200"/>
    </w:pPr>
  </w:style>
  <w:style w:type="paragraph" w:customStyle="1" w:styleId="34">
    <w:name w:val="表头"/>
    <w:basedOn w:val="1"/>
    <w:next w:val="1"/>
    <w:qFormat/>
    <w:uiPriority w:val="0"/>
    <w:pPr>
      <w:numPr>
        <w:ilvl w:val="0"/>
        <w:numId w:val="2"/>
      </w:numPr>
      <w:spacing w:before="50" w:beforeLines="50"/>
      <w:ind w:left="0" w:firstLine="0"/>
      <w:jc w:val="center"/>
    </w:pPr>
    <w:rPr>
      <w:rFonts w:eastAsia="宋体"/>
      <w:b/>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35</Pages>
  <Words>16205</Words>
  <Characters>17431</Characters>
  <Lines>129</Lines>
  <Paragraphs>36</Paragraphs>
  <TotalTime>1</TotalTime>
  <ScaleCrop>false</ScaleCrop>
  <LinksUpToDate>false</LinksUpToDate>
  <CharactersWithSpaces>17525</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2023-03-15T01:17:00Z</dcterms:created>
  <dc:creator>肖 玥伶</dc:creator>
  <cp:lastModifiedBy>韦权芮</cp:lastModifiedBy>
  <dcterms:modified xsi:type="dcterms:W3CDTF">2024-03-05T07:38:29Z</dcterms:modified>
  <cp:revision>339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E93E7643E0B7409184488B43C12001E7_13</vt:lpwstr>
  </property>
</Properties>
</file>