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8C968A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  <w:t>报价单</w:t>
      </w:r>
    </w:p>
    <w:p w14:paraId="303ABC57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河池市国投农牧科技有限责任公司：</w:t>
      </w:r>
    </w:p>
    <w:p w14:paraId="3AF437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兹有河池市国投</w:t>
      </w:r>
      <w:r>
        <w:rPr>
          <w:rFonts w:hint="eastAsia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农牧科技有限责任公司关于雪花牛育肥基地稻草、白酒糟、啤酒糟、青贮及兽药上限控制价询价项目，以下为我司相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关产品报价：</w:t>
      </w:r>
    </w:p>
    <w:tbl>
      <w:tblPr>
        <w:tblStyle w:val="4"/>
        <w:tblpPr w:leftFromText="180" w:rightFromText="180" w:vertAnchor="text" w:horzAnchor="page" w:tblpX="2003" w:tblpY="432"/>
        <w:tblOverlap w:val="never"/>
        <w:tblW w:w="8580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9"/>
        <w:gridCol w:w="6161"/>
      </w:tblGrid>
      <w:tr w14:paraId="781C45AE">
        <w:trPr>
          <w:trHeight w:val="1406" w:hRule="atLeast"/>
        </w:trPr>
        <w:tc>
          <w:tcPr>
            <w:tcW w:w="241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  <mc:AlternateContent>
              <mc:Choice Requires="wpsCustomData">
                <wpsCustomData:diagonals>
                  <wpsCustomData:diagonal from="10000" to="30000">
                    <wpsCustomData:border w:val="single" w:color="000000" w:sz="4" w:space="0"/>
                  </wpsCustomData:diagonal>
                </wpsCustomData:diagonals>
              </mc:Choice>
            </mc:AlternateContent>
          </w:tcPr>
          <w:p w14:paraId="63BBD14C"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 w14:paraId="6E5328BC"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 w14:paraId="2BF6C6A6"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 w14:paraId="16E7F939">
            <w:pPr>
              <w:widowControl/>
              <w:snapToGrid w:val="0"/>
              <w:spacing w:line="240" w:lineRule="auto"/>
              <w:jc w:val="center"/>
              <w:textAlignment w:val="center"/>
              <mc:AlternateContent>
                <mc:Choice Requires="wpsCustomData">
                  <wpsCustomData:diagonalParaType/>
                </mc:Choice>
              </mc:AlternateContent>
              <w:rPr>
                <w:rFonts w:hint="default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  <w:t xml:space="preserve">技术指标  </w:t>
            </w:r>
          </w:p>
          <w:p w14:paraId="44E34268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 w14:paraId="6A2374DD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原料名称</w:t>
            </w:r>
          </w:p>
          <w:p w14:paraId="0EF51B3D">
            <w:pPr>
              <w:pStyle w:val="3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 w14:paraId="4FDFB990">
            <w:pPr>
              <w:pStyle w:val="3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 w14:paraId="5D7A50C7">
            <w:pPr>
              <w:pStyle w:val="3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</w:tcPr>
          <w:p w14:paraId="6D613409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lang w:val="en-US" w:eastAsia="zh-CN"/>
              </w:rPr>
              <w:t>稻草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（600kg/捆，铡断）</w:t>
            </w:r>
          </w:p>
        </w:tc>
      </w:tr>
      <w:tr w14:paraId="36A3BC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E4A734E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水分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DB94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18"/>
                <w:szCs w:val="18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</w:tr>
      <w:tr w14:paraId="1728E1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3D7E0166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蛋白%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74387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≥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4</w:t>
            </w:r>
          </w:p>
        </w:tc>
      </w:tr>
      <w:tr w14:paraId="67B945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01BA2ED9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灰分%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5CA53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12</w:t>
            </w:r>
          </w:p>
        </w:tc>
      </w:tr>
      <w:tr w14:paraId="2D2BE2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3A0CBDD1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钙%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C1076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0.4-0.5</w:t>
            </w:r>
          </w:p>
        </w:tc>
      </w:tr>
      <w:tr w14:paraId="26CD7E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0051F31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磷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4311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0.1-0.2</w:t>
            </w:r>
          </w:p>
        </w:tc>
      </w:tr>
      <w:tr w14:paraId="0F97CF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918333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黄曲霉毒素Blug/kg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A9CA7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18"/>
                <w:szCs w:val="18"/>
              </w:rPr>
              <w:t>0</w:t>
            </w:r>
          </w:p>
        </w:tc>
      </w:tr>
      <w:tr w14:paraId="6D573F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7E67E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呕吐毒素ug/kg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34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2000</w:t>
            </w:r>
          </w:p>
        </w:tc>
      </w:tr>
      <w:tr w14:paraId="54ADB1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6B4A7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玉米赤霉烯酮ug/kg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08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500</w:t>
            </w:r>
          </w:p>
        </w:tc>
      </w:tr>
      <w:tr w14:paraId="731933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493C0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成本（元/吨）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1D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659A1A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694EB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包装（元/吨）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6F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5B1BED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4720F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加工费（元/吨）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6B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75F73D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4A431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运费（元/吨）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C6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375177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58C41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开票税率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3A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494320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62D99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不含税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报价（元/吨）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1D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3EFDDF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4C3B5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33.89吨不含税报价（元）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F8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73416B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15FF0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含税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报价（元/吨）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65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296DA8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2DF2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33.89吨含税报价（元）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B6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03E794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47DB2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报价有效期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CFFD1"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733868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75814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付款方式、账期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A31875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4"/>
                <w:szCs w:val="14"/>
                <w:u w:val="none"/>
                <w:lang w:val="en-US" w:eastAsia="zh-CN" w:bidi="ar"/>
              </w:rPr>
              <w:t>先货后款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4"/>
                <w:szCs w:val="14"/>
                <w:u w:val="none"/>
                <w:lang w:val="en-US" w:eastAsia="zh-CN" w:bidi="ar"/>
              </w:rPr>
              <w:t>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4"/>
                <w:szCs w:val="14"/>
                <w:u w:val="none"/>
                <w:lang w:val="en-US" w:eastAsia="zh-CN" w:bidi="ar"/>
              </w:rPr>
              <w:t>验收合格后，收到正规足额发票之日起7个工作日内以银行转账的方式一次性付款。</w:t>
            </w:r>
          </w:p>
        </w:tc>
      </w:tr>
      <w:tr w14:paraId="385C22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18CC4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联系人、联系电话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C28D35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</w:tr>
    </w:tbl>
    <w:p w14:paraId="1EBC7D9A"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公司</w:t>
      </w:r>
    </w:p>
    <w:p w14:paraId="486EB0C0">
      <w:pPr>
        <w:pStyle w:val="3"/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    月    日</w:t>
      </w:r>
    </w:p>
    <w:tbl>
      <w:tblPr>
        <w:tblStyle w:val="4"/>
        <w:tblpPr w:leftFromText="180" w:rightFromText="180" w:vertAnchor="text" w:horzAnchor="page" w:tblpX="2003" w:tblpY="432"/>
        <w:tblOverlap w:val="never"/>
        <w:tblW w:w="8339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2"/>
        <w:gridCol w:w="5977"/>
      </w:tblGrid>
      <w:tr w14:paraId="0AE7EC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9" w:hRule="atLeast"/>
        </w:trPr>
        <w:tc>
          <w:tcPr>
            <w:tcW w:w="236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  <mc:AlternateContent>
              <mc:Choice Requires="wpsCustomData">
                <wpsCustomData:diagonals>
                  <wpsCustomData:diagonal from="10000" to="30000">
                    <wpsCustomData:border w:val="single" w:color="000000" w:sz="4" w:space="0"/>
                  </wpsCustomData:diagonal>
                </wpsCustomData:diagonals>
              </mc:Choice>
            </mc:AlternateContent>
          </w:tcPr>
          <w:p w14:paraId="79DD6DF0"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 w14:paraId="4822C88C"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 w14:paraId="4C227690"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 w14:paraId="19DC08C1">
            <w:pPr>
              <w:widowControl/>
              <w:snapToGrid w:val="0"/>
              <w:spacing w:line="240" w:lineRule="auto"/>
              <w:jc w:val="center"/>
              <w:textAlignment w:val="center"/>
              <mc:AlternateContent>
                <mc:Choice Requires="wpsCustomData">
                  <wpsCustomData:diagonalParaType/>
                </mc:Choice>
              </mc:AlternateContent>
              <w:rPr>
                <w:rFonts w:hint="default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  <w:t xml:space="preserve">技术指标  </w:t>
            </w:r>
          </w:p>
          <w:p w14:paraId="4DD51CE3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 w14:paraId="67603F6E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原料名称</w:t>
            </w:r>
          </w:p>
          <w:p w14:paraId="10AB8956">
            <w:pPr>
              <w:pStyle w:val="3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 w14:paraId="24B09A4F">
            <w:pPr>
              <w:pStyle w:val="3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 w14:paraId="5A192F9E">
            <w:pPr>
              <w:pStyle w:val="3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</w:tcPr>
          <w:p w14:paraId="578A025F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  <w:t>白酒糟</w:t>
            </w:r>
          </w:p>
        </w:tc>
      </w:tr>
      <w:tr w14:paraId="54444B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68ED5AAE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水分</w:t>
            </w:r>
          </w:p>
        </w:tc>
        <w:tc>
          <w:tcPr>
            <w:tcW w:w="5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3BDA1"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65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</w:tr>
      <w:tr w14:paraId="411DD9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39B92F38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蛋白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6BAF6"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≥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</w:tr>
      <w:tr w14:paraId="1CA114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7B46BAE9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灰分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F2BD6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6.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</w:tr>
      <w:tr w14:paraId="4A1DFD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08974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成本（元/吨）</w:t>
            </w:r>
          </w:p>
        </w:tc>
        <w:tc>
          <w:tcPr>
            <w:tcW w:w="5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DB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4BDC51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3C504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包装（元/吨）</w:t>
            </w:r>
          </w:p>
        </w:tc>
        <w:tc>
          <w:tcPr>
            <w:tcW w:w="5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D1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4F3F7A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D950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加工费（元/吨）</w:t>
            </w:r>
          </w:p>
        </w:tc>
        <w:tc>
          <w:tcPr>
            <w:tcW w:w="5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A3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0AB934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7DCE1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运费（元/吨）</w:t>
            </w:r>
          </w:p>
        </w:tc>
        <w:tc>
          <w:tcPr>
            <w:tcW w:w="5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AF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2ECA4F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11EB2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不含税单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价（元/吨）</w:t>
            </w:r>
          </w:p>
        </w:tc>
        <w:tc>
          <w:tcPr>
            <w:tcW w:w="5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BCE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656218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3D35B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60.79吨不含税总价（元）</w:t>
            </w:r>
          </w:p>
        </w:tc>
        <w:tc>
          <w:tcPr>
            <w:tcW w:w="5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E5004F"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05221B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025F3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含税单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价（元/吨）</w:t>
            </w:r>
          </w:p>
        </w:tc>
        <w:tc>
          <w:tcPr>
            <w:tcW w:w="5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57077D"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6D6F46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5C923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60.79吨含税总价（元）</w:t>
            </w:r>
          </w:p>
        </w:tc>
        <w:tc>
          <w:tcPr>
            <w:tcW w:w="5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36630F"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5C4D60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52951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报价有效期</w:t>
            </w:r>
          </w:p>
        </w:tc>
        <w:tc>
          <w:tcPr>
            <w:tcW w:w="5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F2651">
            <w:pPr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8"/>
                <w:szCs w:val="18"/>
                <w:lang w:val="en-US" w:eastAsia="zh-CN"/>
              </w:rPr>
              <w:t>报价之日起30日</w:t>
            </w:r>
          </w:p>
        </w:tc>
      </w:tr>
      <w:tr w14:paraId="1F00FB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</w:trPr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7D8B6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付款方式、账期</w:t>
            </w:r>
          </w:p>
        </w:tc>
        <w:tc>
          <w:tcPr>
            <w:tcW w:w="5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E7E2E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先货后款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验收合格后，收到正规足额发票之日起7个工作日内以银行转账的方式一次性付款。</w:t>
            </w:r>
          </w:p>
        </w:tc>
      </w:tr>
      <w:tr w14:paraId="22D439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2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73DE9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联系人、联系电话</w:t>
            </w:r>
          </w:p>
        </w:tc>
        <w:tc>
          <w:tcPr>
            <w:tcW w:w="5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0AE70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</w:tr>
    </w:tbl>
    <w:p w14:paraId="00417234"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 w14:paraId="4374E168"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 w14:paraId="4A67F1A8"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公司</w:t>
      </w:r>
    </w:p>
    <w:p w14:paraId="2A951F47">
      <w:pPr>
        <w:pStyle w:val="3"/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    月    日</w:t>
      </w:r>
    </w:p>
    <w:p w14:paraId="467E5ADF"/>
    <w:p w14:paraId="5CDF8064"/>
    <w:p w14:paraId="184A1D69"/>
    <w:p w14:paraId="03B343F3"/>
    <w:p w14:paraId="204DC601"/>
    <w:p w14:paraId="57F528BD"/>
    <w:tbl>
      <w:tblPr>
        <w:tblStyle w:val="4"/>
        <w:tblpPr w:leftFromText="180" w:rightFromText="180" w:vertAnchor="text" w:horzAnchor="page" w:tblpX="2188" w:tblpY="17"/>
        <w:tblOverlap w:val="never"/>
        <w:tblW w:w="823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34"/>
        <w:gridCol w:w="5904"/>
      </w:tblGrid>
      <w:tr w14:paraId="6714D7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1" w:hRule="atLeast"/>
        </w:trPr>
        <w:tc>
          <w:tcPr>
            <w:tcW w:w="233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  <mc:AlternateContent>
              <mc:Choice Requires="wpsCustomData">
                <wpsCustomData:diagonals>
                  <wpsCustomData:diagonal from="10000" to="30000">
                    <wpsCustomData:border w:val="single" w:color="000000" w:sz="4" w:space="0"/>
                  </wpsCustomData:diagonal>
                </wpsCustomData:diagonals>
              </mc:Choice>
            </mc:AlternateContent>
          </w:tcPr>
          <w:p w14:paraId="18019E88"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 w14:paraId="3D02F770"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 w14:paraId="31BDE82D"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 w14:paraId="5EEB2914">
            <w:pPr>
              <w:widowControl/>
              <w:snapToGrid w:val="0"/>
              <w:spacing w:line="240" w:lineRule="auto"/>
              <w:jc w:val="center"/>
              <w:textAlignment w:val="center"/>
              <mc:AlternateContent>
                <mc:Choice Requires="wpsCustomData">
                  <wpsCustomData:diagonalParaType/>
                </mc:Choice>
              </mc:AlternateContent>
              <w:rPr>
                <w:rFonts w:hint="default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  <w:t xml:space="preserve">技术指标  </w:t>
            </w:r>
          </w:p>
          <w:p w14:paraId="5616E15F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 w14:paraId="5B0C9D77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原料名称</w:t>
            </w:r>
          </w:p>
          <w:p w14:paraId="0DDB6C14">
            <w:pPr>
              <w:pStyle w:val="3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 w14:paraId="000149FA">
            <w:pPr>
              <w:pStyle w:val="3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 w14:paraId="3C7B576C">
            <w:pPr>
              <w:pStyle w:val="3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</w:tcPr>
          <w:p w14:paraId="4FE625CE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  <w:t>啤酒糟</w:t>
            </w:r>
          </w:p>
        </w:tc>
      </w:tr>
      <w:tr w14:paraId="427DFA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3C008CBB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水分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334A8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75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</w:tr>
      <w:tr w14:paraId="50DA54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30A7DAD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蛋白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0EF07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≥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25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</w:tr>
      <w:tr w14:paraId="530AA5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60FA8B2E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灰分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26FF2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</w:tr>
      <w:tr w14:paraId="2B81BC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6FB9D00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钙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B9CEC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0.2-0.3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</w:tr>
      <w:tr w14:paraId="40EC95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5D30A0B1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磷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2F1DE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0.5-0.7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</w:tr>
      <w:tr w14:paraId="659BB8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093A9EC9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黄曲霉毒素Bl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0A78F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18"/>
                <w:szCs w:val="18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ug/kg</w:t>
            </w:r>
          </w:p>
        </w:tc>
      </w:tr>
      <w:tr w14:paraId="793733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12C61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呕吐毒素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C76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2000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ug/kg</w:t>
            </w:r>
          </w:p>
        </w:tc>
      </w:tr>
      <w:tr w14:paraId="154727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1E86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玉米赤霉烯酮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BC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500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ug/kg</w:t>
            </w:r>
          </w:p>
        </w:tc>
      </w:tr>
      <w:tr w14:paraId="57A3AC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55C58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成本（元/吨）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9A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17A167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6073B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包装（元/吨）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62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23FEBC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B5D9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加工费（元/吨）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15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0DDC02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107E5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运费（元/吨）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AE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100FF5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15B7C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开票税率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F0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79F74D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003F8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不含税单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价（元/吨）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5BE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0B2D22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514D5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35.36吨不含税总价（元）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F9D04"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68CFE9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574AB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含税单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价（元/吨）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6E292"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19232F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5C23E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35.36吨含税总价（元）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E93AE"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1BF88C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5676E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报价有效期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C3166">
            <w:pPr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8"/>
                <w:szCs w:val="18"/>
                <w:lang w:val="en-US" w:eastAsia="zh-CN"/>
              </w:rPr>
              <w:t>报价之日起30日</w:t>
            </w:r>
          </w:p>
        </w:tc>
      </w:tr>
      <w:tr w14:paraId="76C142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02AC1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付款方式、账期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1994C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先货后款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验收合格后，收到正规足额发票之日起7个工作日内以银行转账的方式一次性付款。</w:t>
            </w:r>
          </w:p>
        </w:tc>
      </w:tr>
      <w:tr w14:paraId="64DE0A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6C9D5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联系人、联系电话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BD508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</w:tr>
    </w:tbl>
    <w:p w14:paraId="44CD31FB">
      <w:pPr>
        <w:rPr>
          <w:rFonts w:hint="eastAsia" w:eastAsiaTheme="minorEastAsia"/>
          <w:lang w:eastAsia="zh-CN"/>
        </w:rPr>
      </w:pPr>
    </w:p>
    <w:p w14:paraId="6D18A2D3">
      <w:pPr>
        <w:rPr>
          <w:rFonts w:hint="eastAsia" w:eastAsiaTheme="minorEastAsia"/>
          <w:lang w:eastAsia="zh-CN"/>
        </w:rPr>
      </w:pPr>
    </w:p>
    <w:p w14:paraId="1C01EF25">
      <w:pPr>
        <w:rPr>
          <w:rFonts w:hint="eastAsia" w:eastAsiaTheme="minorEastAsia"/>
          <w:lang w:eastAsia="zh-CN"/>
        </w:rPr>
      </w:pPr>
    </w:p>
    <w:p w14:paraId="7945377A">
      <w:pPr>
        <w:rPr>
          <w:rFonts w:hint="eastAsia" w:eastAsiaTheme="minorEastAsia"/>
          <w:lang w:eastAsia="zh-CN"/>
        </w:rPr>
      </w:pPr>
    </w:p>
    <w:p w14:paraId="5C2A5825">
      <w:pPr>
        <w:rPr>
          <w:rFonts w:hint="eastAsia" w:eastAsiaTheme="minorEastAsia"/>
          <w:lang w:eastAsia="zh-CN"/>
        </w:rPr>
      </w:pPr>
    </w:p>
    <w:p w14:paraId="0A742B90">
      <w:pPr>
        <w:rPr>
          <w:rFonts w:hint="eastAsia" w:eastAsiaTheme="minorEastAsia"/>
          <w:lang w:eastAsia="zh-CN"/>
        </w:rPr>
      </w:pPr>
    </w:p>
    <w:p w14:paraId="05B39E52">
      <w:pPr>
        <w:rPr>
          <w:rFonts w:hint="eastAsia" w:eastAsiaTheme="minorEastAsia"/>
          <w:lang w:eastAsia="zh-CN"/>
        </w:rPr>
      </w:pPr>
    </w:p>
    <w:p w14:paraId="015D67EE">
      <w:pPr>
        <w:rPr>
          <w:rFonts w:hint="eastAsia" w:eastAsiaTheme="minorEastAsia"/>
          <w:lang w:eastAsia="zh-CN"/>
        </w:rPr>
      </w:pPr>
    </w:p>
    <w:p w14:paraId="58D59CB0">
      <w:pPr>
        <w:rPr>
          <w:rFonts w:hint="eastAsia" w:eastAsiaTheme="minorEastAsia"/>
          <w:lang w:eastAsia="zh-CN"/>
        </w:rPr>
      </w:pPr>
    </w:p>
    <w:p w14:paraId="3A50BDD3">
      <w:pPr>
        <w:rPr>
          <w:rFonts w:hint="eastAsia" w:eastAsiaTheme="minorEastAsia"/>
          <w:lang w:eastAsia="zh-CN"/>
        </w:rPr>
      </w:pPr>
    </w:p>
    <w:p w14:paraId="451877EB">
      <w:pPr>
        <w:rPr>
          <w:rFonts w:hint="eastAsia" w:eastAsiaTheme="minorEastAsia"/>
          <w:lang w:eastAsia="zh-CN"/>
        </w:rPr>
      </w:pPr>
    </w:p>
    <w:p w14:paraId="66E2448C">
      <w:pPr>
        <w:rPr>
          <w:rFonts w:hint="eastAsia" w:eastAsiaTheme="minorEastAsia"/>
          <w:lang w:eastAsia="zh-CN"/>
        </w:rPr>
      </w:pPr>
    </w:p>
    <w:p w14:paraId="4EC0995F">
      <w:pPr>
        <w:rPr>
          <w:rFonts w:hint="eastAsia" w:eastAsiaTheme="minorEastAsia"/>
          <w:lang w:eastAsia="zh-CN"/>
        </w:rPr>
      </w:pPr>
    </w:p>
    <w:p w14:paraId="0C637927">
      <w:pPr>
        <w:rPr>
          <w:rFonts w:hint="eastAsia" w:eastAsiaTheme="minorEastAsia"/>
          <w:lang w:eastAsia="zh-CN"/>
        </w:rPr>
      </w:pPr>
    </w:p>
    <w:p w14:paraId="53D337B4">
      <w:pPr>
        <w:rPr>
          <w:rFonts w:hint="eastAsia" w:eastAsiaTheme="minorEastAsia"/>
          <w:lang w:eastAsia="zh-CN"/>
        </w:rPr>
      </w:pPr>
    </w:p>
    <w:p w14:paraId="2F1C6D79">
      <w:pPr>
        <w:rPr>
          <w:rFonts w:hint="eastAsia" w:eastAsiaTheme="minorEastAsia"/>
          <w:lang w:eastAsia="zh-CN"/>
        </w:rPr>
      </w:pPr>
    </w:p>
    <w:p w14:paraId="23204AE9">
      <w:pPr>
        <w:rPr>
          <w:rFonts w:hint="eastAsia" w:eastAsiaTheme="minorEastAsia"/>
          <w:lang w:eastAsia="zh-CN"/>
        </w:rPr>
      </w:pPr>
    </w:p>
    <w:p w14:paraId="61A73C97">
      <w:pPr>
        <w:rPr>
          <w:rFonts w:hint="eastAsia" w:eastAsiaTheme="minorEastAsia"/>
          <w:lang w:eastAsia="zh-CN"/>
        </w:rPr>
      </w:pPr>
    </w:p>
    <w:p w14:paraId="51C87D07">
      <w:pPr>
        <w:rPr>
          <w:rFonts w:hint="eastAsia" w:eastAsiaTheme="minorEastAsia"/>
          <w:lang w:eastAsia="zh-CN"/>
        </w:rPr>
      </w:pPr>
    </w:p>
    <w:p w14:paraId="517D903C">
      <w:pPr>
        <w:rPr>
          <w:rFonts w:hint="eastAsia" w:eastAsiaTheme="minorEastAsia"/>
          <w:lang w:eastAsia="zh-CN"/>
        </w:rPr>
      </w:pPr>
    </w:p>
    <w:p w14:paraId="49A304CC">
      <w:pPr>
        <w:rPr>
          <w:rFonts w:hint="eastAsia" w:eastAsiaTheme="minorEastAsia"/>
          <w:lang w:eastAsia="zh-CN"/>
        </w:rPr>
      </w:pPr>
    </w:p>
    <w:p w14:paraId="5D7556EA">
      <w:pPr>
        <w:rPr>
          <w:rFonts w:hint="eastAsia" w:eastAsiaTheme="minorEastAsia"/>
          <w:lang w:eastAsia="zh-CN"/>
        </w:rPr>
      </w:pPr>
    </w:p>
    <w:p w14:paraId="2E4F6BC2">
      <w:pPr>
        <w:rPr>
          <w:rFonts w:hint="eastAsia" w:eastAsiaTheme="minorEastAsia"/>
          <w:lang w:eastAsia="zh-CN"/>
        </w:rPr>
      </w:pPr>
    </w:p>
    <w:p w14:paraId="0E0DCFD4">
      <w:pPr>
        <w:rPr>
          <w:rFonts w:hint="eastAsia" w:eastAsiaTheme="minorEastAsia"/>
          <w:lang w:eastAsia="zh-CN"/>
        </w:rPr>
      </w:pPr>
    </w:p>
    <w:p w14:paraId="0C78D901">
      <w:pPr>
        <w:rPr>
          <w:rFonts w:hint="eastAsia" w:eastAsiaTheme="minorEastAsia"/>
          <w:lang w:eastAsia="zh-CN"/>
        </w:rPr>
      </w:pPr>
    </w:p>
    <w:p w14:paraId="726068C5">
      <w:pPr>
        <w:rPr>
          <w:rFonts w:hint="eastAsia" w:eastAsiaTheme="minorEastAsia"/>
          <w:lang w:eastAsia="zh-CN"/>
        </w:rPr>
      </w:pPr>
    </w:p>
    <w:p w14:paraId="225C2911">
      <w:pPr>
        <w:rPr>
          <w:rFonts w:hint="eastAsia" w:eastAsiaTheme="minorEastAsia"/>
          <w:lang w:eastAsia="zh-CN"/>
        </w:rPr>
      </w:pPr>
    </w:p>
    <w:p w14:paraId="205EE1B6">
      <w:pPr>
        <w:rPr>
          <w:rFonts w:hint="eastAsia" w:eastAsiaTheme="minorEastAsia"/>
          <w:lang w:eastAsia="zh-CN"/>
        </w:rPr>
      </w:pPr>
    </w:p>
    <w:p w14:paraId="6FCAF8FE">
      <w:pPr>
        <w:rPr>
          <w:rFonts w:hint="eastAsia" w:eastAsiaTheme="minorEastAsia"/>
          <w:lang w:eastAsia="zh-CN"/>
        </w:rPr>
      </w:pPr>
    </w:p>
    <w:p w14:paraId="43207776">
      <w:pPr>
        <w:rPr>
          <w:rFonts w:hint="eastAsia" w:eastAsiaTheme="minorEastAsia"/>
          <w:lang w:eastAsia="zh-CN"/>
        </w:rPr>
      </w:pPr>
    </w:p>
    <w:p w14:paraId="04FF511E">
      <w:pPr>
        <w:rPr>
          <w:rFonts w:hint="eastAsia" w:eastAsiaTheme="minorEastAsia"/>
          <w:lang w:eastAsia="zh-CN"/>
        </w:rPr>
      </w:pPr>
    </w:p>
    <w:p w14:paraId="7D89C0E7">
      <w:pPr>
        <w:rPr>
          <w:rFonts w:hint="eastAsia" w:eastAsiaTheme="minorEastAsia"/>
          <w:lang w:eastAsia="zh-CN"/>
        </w:rPr>
      </w:pPr>
    </w:p>
    <w:p w14:paraId="4744C325">
      <w:pPr>
        <w:ind w:firstLine="3360" w:firstLineChars="16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公司</w:t>
      </w:r>
    </w:p>
    <w:p w14:paraId="7C5D36D7">
      <w:pPr>
        <w:pStyle w:val="3"/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    月    日</w:t>
      </w:r>
    </w:p>
    <w:p w14:paraId="7ABBF652">
      <w:pP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 w14:paraId="3DA3AC24">
      <w:pP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 w14:paraId="25D7C70D">
      <w:pP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 w14:paraId="4881C5BE">
      <w:pP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 w14:paraId="5B395227">
      <w:pP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tbl>
      <w:tblPr>
        <w:tblStyle w:val="4"/>
        <w:tblpPr w:leftFromText="180" w:rightFromText="180" w:vertAnchor="text" w:horzAnchor="page" w:tblpX="2059" w:tblpY="78"/>
        <w:tblOverlap w:val="never"/>
        <w:tblW w:w="823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84"/>
        <w:gridCol w:w="5754"/>
      </w:tblGrid>
      <w:tr w14:paraId="718FA0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1" w:hRule="atLeast"/>
        </w:trPr>
        <w:tc>
          <w:tcPr>
            <w:tcW w:w="248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  <mc:AlternateContent>
              <mc:Choice Requires="wpsCustomData">
                <wpsCustomData:diagonals>
                  <wpsCustomData:diagonal from="10000" to="30000">
                    <wpsCustomData:border w:val="single" w:color="000000" w:sz="4" w:space="0"/>
                  </wpsCustomData:diagonal>
                </wpsCustomData:diagonals>
              </mc:Choice>
            </mc:AlternateContent>
          </w:tcPr>
          <w:p w14:paraId="5ADEBA68"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 w14:paraId="0EECB742"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 w14:paraId="10DCBDC3"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 w14:paraId="3F1BE4A7">
            <w:pPr>
              <w:widowControl/>
              <w:snapToGrid w:val="0"/>
              <w:spacing w:line="240" w:lineRule="auto"/>
              <w:jc w:val="center"/>
              <w:textAlignment w:val="center"/>
              <mc:AlternateContent>
                <mc:Choice Requires="wpsCustomData">
                  <wpsCustomData:diagonalParaType/>
                </mc:Choice>
              </mc:AlternateContent>
              <w:rPr>
                <w:rFonts w:hint="default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  <w:t xml:space="preserve">技术指标  </w:t>
            </w:r>
          </w:p>
          <w:p w14:paraId="022FD97E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 w14:paraId="07ABBF88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原料名称</w:t>
            </w:r>
          </w:p>
          <w:p w14:paraId="35E2FC33">
            <w:pPr>
              <w:pStyle w:val="3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 w14:paraId="1939215F">
            <w:pPr>
              <w:pStyle w:val="3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 w14:paraId="731A08FF">
            <w:pPr>
              <w:pStyle w:val="3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</w:tcPr>
          <w:p w14:paraId="251E627C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  <w:t>青贮（大裹包）</w:t>
            </w:r>
          </w:p>
        </w:tc>
      </w:tr>
      <w:tr w14:paraId="0AA150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5532AFB5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水分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561CA8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70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</w:tr>
      <w:tr w14:paraId="5D270B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34D7CDB2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蛋白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D6518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≥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6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</w:tr>
      <w:tr w14:paraId="061181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59E4B4B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灰分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0ACBD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9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</w:tr>
      <w:tr w14:paraId="167E30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1A683C45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钙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85F73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0.3-0.5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</w:tr>
      <w:tr w14:paraId="518C65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75606FD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磷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70700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0.1-0.2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</w:tr>
      <w:tr w14:paraId="32E276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5C8BE171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黄曲霉毒素Bl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6F8F9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18"/>
                <w:szCs w:val="18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ug/kg</w:t>
            </w:r>
          </w:p>
        </w:tc>
      </w:tr>
      <w:tr w14:paraId="3ACA89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12701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呕吐毒素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02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2000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ug/kg</w:t>
            </w:r>
          </w:p>
        </w:tc>
      </w:tr>
      <w:tr w14:paraId="4058ED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62CE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玉米赤霉烯酮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DF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500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ug/kg</w:t>
            </w:r>
          </w:p>
        </w:tc>
      </w:tr>
      <w:tr w14:paraId="6D54D1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7E8211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成本（元/吨）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3F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621A75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6B216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包装（元/吨）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B5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13586D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4A115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加工费（元/吨）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AB5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61C476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5A2CE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运费（元/吨）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CF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3EB509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55DC1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开票税率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96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7F7B81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43B6B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不含税单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价（元/吨）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978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6BA324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01598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68.76吨不含税总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价（元）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CD5F6"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79C170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5598C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含税单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价（元/吨）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B579A"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2A1B52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399A9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68.76吨含税总价（元）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ADEF79"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010800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7BF6E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报价有效期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6D279">
            <w:pPr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8"/>
                <w:szCs w:val="18"/>
                <w:lang w:val="en-US" w:eastAsia="zh-CN"/>
              </w:rPr>
              <w:t>报价之日起30日</w:t>
            </w:r>
          </w:p>
        </w:tc>
      </w:tr>
      <w:tr w14:paraId="3CDA99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0A342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付款方式、账期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1A31E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先货后款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验收合格后，收到正规足额发票之日起7个工作日内以银行转账的方式一次性付款。</w:t>
            </w:r>
          </w:p>
        </w:tc>
      </w:tr>
      <w:tr w14:paraId="616B2D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0461B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联系人、联系电话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AB4F9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</w:tr>
    </w:tbl>
    <w:p w14:paraId="179F43F1">
      <w:pPr>
        <w:rPr>
          <w:rFonts w:hint="default" w:eastAsiaTheme="minorEastAsia"/>
          <w:lang w:val="en-US" w:eastAsia="zh-CN"/>
        </w:rPr>
      </w:pPr>
    </w:p>
    <w:p w14:paraId="386FDF33"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公司</w:t>
      </w:r>
    </w:p>
    <w:p w14:paraId="1ABEC257">
      <w:pPr>
        <w:pStyle w:val="3"/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    月    日</w:t>
      </w:r>
    </w:p>
    <w:p w14:paraId="0C30599C">
      <w:pPr>
        <w:rPr>
          <w:rFonts w:hint="default" w:eastAsiaTheme="minorEastAsia"/>
          <w:lang w:val="en-US" w:eastAsia="zh-CN"/>
        </w:rPr>
      </w:pPr>
    </w:p>
    <w:p w14:paraId="0B5B1149">
      <w:pPr>
        <w:rPr>
          <w:rFonts w:hint="default" w:eastAsiaTheme="minorEastAsia"/>
          <w:lang w:val="en-US" w:eastAsia="zh-CN"/>
        </w:rPr>
      </w:pPr>
    </w:p>
    <w:p w14:paraId="4BCBEB80">
      <w:pPr>
        <w:rPr>
          <w:rFonts w:hint="default" w:eastAsiaTheme="minorEastAsia"/>
          <w:lang w:val="en-US" w:eastAsia="zh-CN"/>
        </w:rPr>
      </w:pPr>
    </w:p>
    <w:p w14:paraId="01DEEE67">
      <w:pPr>
        <w:rPr>
          <w:rFonts w:hint="default" w:eastAsiaTheme="minorEastAsia"/>
          <w:lang w:val="en-US" w:eastAsia="zh-CN"/>
        </w:rPr>
      </w:pPr>
    </w:p>
    <w:p w14:paraId="2DB3B30D">
      <w:pPr>
        <w:rPr>
          <w:rFonts w:hint="default" w:eastAsiaTheme="minorEastAsia"/>
          <w:lang w:val="en-US" w:eastAsia="zh-CN"/>
        </w:rPr>
      </w:pPr>
    </w:p>
    <w:p w14:paraId="40C51FD7">
      <w:pPr>
        <w:rPr>
          <w:rFonts w:hint="default" w:eastAsiaTheme="minorEastAsia"/>
          <w:lang w:val="en-US" w:eastAsia="zh-CN"/>
        </w:rPr>
      </w:pPr>
    </w:p>
    <w:p w14:paraId="6C5C6A46">
      <w:pPr>
        <w:rPr>
          <w:rFonts w:hint="default" w:eastAsiaTheme="minorEastAsia"/>
          <w:lang w:val="en-US" w:eastAsia="zh-CN"/>
        </w:rPr>
        <w:sectPr>
          <w:pgSz w:w="11906" w:h="16838"/>
          <w:pgMar w:top="1417" w:right="1417" w:bottom="1417" w:left="1417" w:header="851" w:footer="992" w:gutter="0"/>
          <w:cols w:space="425" w:num="1"/>
          <w:docGrid w:type="lines" w:linePitch="312" w:charSpace="0"/>
        </w:sectPr>
      </w:pPr>
    </w:p>
    <w:p w14:paraId="57463C24">
      <w:pPr>
        <w:rPr>
          <w:rFonts w:hint="default" w:eastAsiaTheme="minorEastAsia"/>
          <w:lang w:val="en-US" w:eastAsia="zh-CN"/>
        </w:rPr>
      </w:pPr>
    </w:p>
    <w:tbl>
      <w:tblPr>
        <w:tblStyle w:val="4"/>
        <w:tblpPr w:leftFromText="180" w:rightFromText="180" w:vertAnchor="text" w:horzAnchor="page" w:tblpX="1526" w:tblpY="441"/>
        <w:tblOverlap w:val="never"/>
        <w:tblW w:w="1397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1"/>
        <w:gridCol w:w="2542"/>
        <w:gridCol w:w="1607"/>
        <w:gridCol w:w="912"/>
        <w:gridCol w:w="885"/>
        <w:gridCol w:w="2835"/>
        <w:gridCol w:w="1440"/>
        <w:gridCol w:w="1395"/>
        <w:gridCol w:w="1673"/>
      </w:tblGrid>
      <w:tr w14:paraId="662820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429" w:hRule="atLeast"/>
        </w:trPr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E5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CEE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兽药名称</w:t>
            </w:r>
          </w:p>
        </w:tc>
        <w:tc>
          <w:tcPr>
            <w:tcW w:w="1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AB1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型号规格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226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F84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93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生产厂家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883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0"/>
                <w:szCs w:val="20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不含税单价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53A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金额（元）</w:t>
            </w: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B61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1AEFD5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3CF4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7E2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霉脱宝</w:t>
            </w:r>
          </w:p>
        </w:tc>
        <w:tc>
          <w:tcPr>
            <w:tcW w:w="1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2F6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1000g×15包/件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475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D4E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90D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64A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E72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74D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58E98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FDAF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E52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0.9%氯化钠注射液</w:t>
            </w:r>
          </w:p>
        </w:tc>
        <w:tc>
          <w:tcPr>
            <w:tcW w:w="1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E34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500ml×30瓶/件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943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396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55F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01A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C61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F52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1AC22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67F6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93C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聚维硐碘溶液</w:t>
            </w:r>
          </w:p>
        </w:tc>
        <w:tc>
          <w:tcPr>
            <w:tcW w:w="1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F57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5L×4瓶/件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ACF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11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411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50B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705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80A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E6F5E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B29C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FB3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戊二醛癸甲溴铵溶液</w:t>
            </w:r>
          </w:p>
        </w:tc>
        <w:tc>
          <w:tcPr>
            <w:tcW w:w="1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DA2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5L×4瓶/件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B00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613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1A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469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801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69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BBA85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067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B4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苯扎溴铵溶液</w:t>
            </w:r>
          </w:p>
        </w:tc>
        <w:tc>
          <w:tcPr>
            <w:tcW w:w="1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3F0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5L×4瓶/件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89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C2F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9B3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5241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053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180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F30DE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5957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A3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16号兽用针头（10×25）</w:t>
            </w:r>
          </w:p>
        </w:tc>
        <w:tc>
          <w:tcPr>
            <w:tcW w:w="1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A74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10支/盒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38A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EB7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9F6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057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8994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72E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5E9D6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854C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D16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16号兽用针头（10×15）</w:t>
            </w:r>
          </w:p>
        </w:tc>
        <w:tc>
          <w:tcPr>
            <w:tcW w:w="1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9CB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10支/盒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CE3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947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05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DC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0F2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683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82259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12297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99FD368">
            <w:pPr>
              <w:keepNext w:val="0"/>
              <w:keepLines w:val="0"/>
              <w:widowControl/>
              <w:suppressLineNumbers w:val="0"/>
              <w:ind w:firstLine="5000" w:firstLineChars="250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不含税合计（元）：           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  税率：</w:t>
            </w: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3B1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23CCE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322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95D6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报价有效期</w:t>
            </w:r>
          </w:p>
        </w:tc>
        <w:tc>
          <w:tcPr>
            <w:tcW w:w="1074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D08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报价之日起30日</w:t>
            </w:r>
          </w:p>
        </w:tc>
      </w:tr>
      <w:tr w14:paraId="45CFFE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322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5BB7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付款方式、账期</w:t>
            </w:r>
          </w:p>
        </w:tc>
        <w:tc>
          <w:tcPr>
            <w:tcW w:w="1074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FC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以上报价皆为含税价。先货后款，验收合格后，收到正规足额发票之日起7个工作日内以银行转账的方式一次性付款。</w:t>
            </w:r>
          </w:p>
        </w:tc>
      </w:tr>
      <w:tr w14:paraId="0454B8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322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5A3D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联系人、联系电话</w:t>
            </w:r>
          </w:p>
        </w:tc>
        <w:tc>
          <w:tcPr>
            <w:tcW w:w="1074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3E8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67815BF3">
      <w:pPr>
        <w:pStyle w:val="3"/>
        <w:ind w:left="0" w:leftChars="0" w:firstLine="0" w:firstLineChars="0"/>
        <w:rPr>
          <w:rFonts w:hint="eastAsia" w:ascii="仿宋_GB2312" w:hAnsi="仿宋_GB2312" w:eastAsia="仿宋_GB2312" w:cs="仿宋_GB2312"/>
          <w:sz w:val="18"/>
          <w:szCs w:val="18"/>
          <w:u w:val="none"/>
          <w:lang w:val="en-US" w:eastAsia="zh-CN"/>
        </w:rPr>
      </w:pPr>
    </w:p>
    <w:p w14:paraId="6AAF8655"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0"/>
          <w:szCs w:val="20"/>
          <w:u w:val="none"/>
          <w:lang w:val="en-US" w:eastAsia="zh-CN" w:bidi="ar"/>
        </w:rPr>
      </w:pPr>
    </w:p>
    <w:p w14:paraId="70C744A3">
      <w:pPr>
        <w:ind w:firstLine="8640" w:firstLineChars="27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公司</w:t>
      </w:r>
    </w:p>
    <w:p w14:paraId="2D8425B0">
      <w:pPr>
        <w:ind w:firstLine="9280" w:firstLineChars="2900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    月    日</w:t>
      </w:r>
    </w:p>
    <w:p w14:paraId="35E4833A">
      <w:pPr>
        <w:rPr>
          <w:rFonts w:hint="default" w:eastAsiaTheme="minorEastAsia"/>
          <w:lang w:val="en-US" w:eastAsia="zh-CN"/>
        </w:rPr>
      </w:pPr>
    </w:p>
    <w:sectPr>
      <w:pgSz w:w="16838" w:h="11906" w:orient="landscape"/>
      <w:pgMar w:top="1417" w:right="1417" w:bottom="1417" w:left="141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lNWY0NmU1N2Y2ZWJiY2UxY2Y2NmIwMTY0MmI1YjUifQ=="/>
  </w:docVars>
  <w:rsids>
    <w:rsidRoot w:val="00000000"/>
    <w:rsid w:val="02434AEF"/>
    <w:rsid w:val="0CE40A82"/>
    <w:rsid w:val="1A4A6EEC"/>
    <w:rsid w:val="22ED6C57"/>
    <w:rsid w:val="247E5514"/>
    <w:rsid w:val="2601765A"/>
    <w:rsid w:val="38547ABE"/>
    <w:rsid w:val="49C035FE"/>
    <w:rsid w:val="4AB55D3B"/>
    <w:rsid w:val="5A291B0B"/>
    <w:rsid w:val="75521FEA"/>
    <w:rsid w:val="78F432CB"/>
    <w:rsid w:val="7A3D1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after="120"/>
      <w:ind w:left="420" w:leftChars="200"/>
    </w:pPr>
    <w:rPr>
      <w:rFonts w:ascii="Times New Roman" w:hAnsi="Times New Roman"/>
    </w:rPr>
  </w:style>
  <w:style w:type="paragraph" w:styleId="3">
    <w:name w:val="Body Text First Indent 2"/>
    <w:basedOn w:val="2"/>
    <w:next w:val="1"/>
    <w:qFormat/>
    <w:uiPriority w:val="0"/>
    <w:pPr>
      <w:spacing w:after="0"/>
      <w:ind w:firstLine="420" w:firstLineChars="200"/>
    </w:pPr>
    <w:rPr>
      <w:rFonts w:cs="仿宋_GB231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1137</Words>
  <Characters>1330</Characters>
  <Lines>0</Lines>
  <Paragraphs>0</Paragraphs>
  <TotalTime>6</TotalTime>
  <ScaleCrop>false</ScaleCrop>
  <LinksUpToDate>false</LinksUpToDate>
  <CharactersWithSpaces>1466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2024-08-20T08:56:00Z</dcterms:created>
  <dc:creator>Acer</dc:creator>
  <cp:lastModifiedBy>猫猫球</cp:lastModifiedBy>
  <dcterms:modified xsi:type="dcterms:W3CDTF">2024-08-20T09:48:41Z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9679B3C2E9B742FFA3F76BC16EF34941_12</vt:lpwstr>
  </property>
</Properties>
</file>