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9782C2">
      <w:pPr>
        <w:rPr>
          <w:rFonts w:hint="eastAsia" w:ascii="黑体" w:hAnsi="黑体" w:eastAsia="黑体"/>
          <w:lang w:val="en-US" w:eastAsia="zh-CN"/>
        </w:rPr>
      </w:pPr>
      <w:r>
        <w:rPr>
          <w:rFonts w:hint="eastAsia" w:ascii="黑体" w:hAnsi="黑体" w:eastAsia="黑体"/>
        </w:rPr>
        <w:t>附件</w:t>
      </w:r>
      <w:r>
        <w:rPr>
          <w:rFonts w:hint="eastAsia" w:ascii="黑体" w:hAnsi="黑体" w:eastAsia="黑体"/>
          <w:lang w:val="en-US" w:eastAsia="zh-CN"/>
        </w:rPr>
        <w:t>2</w:t>
      </w:r>
    </w:p>
    <w:p w14:paraId="162C6452">
      <w:pPr>
        <w:rPr>
          <w:rFonts w:hint="eastAsia"/>
        </w:rPr>
      </w:pPr>
    </w:p>
    <w:p w14:paraId="5363CC00">
      <w:pPr>
        <w:spacing w:line="560" w:lineRule="exact"/>
        <w:jc w:val="center"/>
        <w:rPr>
          <w:rFonts w:hint="eastAsia"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截至202</w:t>
      </w:r>
      <w:r>
        <w:rPr>
          <w:rFonts w:hint="eastAsia" w:ascii="方正小标宋简体" w:hAnsi="黑体" w:eastAsia="方正小标宋简体"/>
          <w:sz w:val="44"/>
          <w:szCs w:val="44"/>
          <w:lang w:val="en-US" w:eastAsia="zh-CN"/>
        </w:rPr>
        <w:t>4</w:t>
      </w:r>
      <w:r>
        <w:rPr>
          <w:rFonts w:hint="eastAsia" w:ascii="方正小标宋简体" w:hAnsi="黑体" w:eastAsia="方正小标宋简体"/>
          <w:sz w:val="44"/>
          <w:szCs w:val="44"/>
        </w:rPr>
        <w:t>年末发行的新增政府专项债券</w:t>
      </w:r>
    </w:p>
    <w:p w14:paraId="26C7C843">
      <w:pPr>
        <w:spacing w:line="560" w:lineRule="exact"/>
        <w:jc w:val="center"/>
        <w:rPr>
          <w:rFonts w:hint="eastAsia"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资金收支情况表</w:t>
      </w:r>
    </w:p>
    <w:p w14:paraId="6CF355E7">
      <w:pPr>
        <w:widowControl/>
        <w:jc w:val="left"/>
        <w:rPr>
          <w:rFonts w:hint="eastAsia"/>
          <w:sz w:val="20"/>
          <w:szCs w:val="20"/>
        </w:rPr>
      </w:pPr>
    </w:p>
    <w:p w14:paraId="3C057477">
      <w:pPr>
        <w:widowControl/>
        <w:jc w:val="right"/>
        <w:rPr>
          <w:rFonts w:hint="eastAsia"/>
        </w:rPr>
      </w:pPr>
      <w:r>
        <w:rPr>
          <w:rFonts w:hint="eastAsia"/>
        </w:rPr>
        <w:t>单位：亿元</w:t>
      </w:r>
    </w:p>
    <w:tbl>
      <w:tblPr>
        <w:tblStyle w:val="2"/>
        <w:tblpPr w:leftFromText="180" w:rightFromText="180" w:vertAnchor="text" w:horzAnchor="page" w:tblpXSpec="center" w:tblpY="412"/>
        <w:tblOverlap w:val="never"/>
        <w:tblW w:w="910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2"/>
        <w:gridCol w:w="2674"/>
        <w:gridCol w:w="1921"/>
        <w:gridCol w:w="2779"/>
        <w:gridCol w:w="936"/>
      </w:tblGrid>
      <w:tr w14:paraId="26DE70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  <w:jc w:val="center"/>
        </w:trPr>
        <w:tc>
          <w:tcPr>
            <w:tcW w:w="792" w:type="dxa"/>
            <w:vMerge w:val="restart"/>
            <w:noWrap w:val="0"/>
            <w:vAlign w:val="center"/>
          </w:tcPr>
          <w:p w14:paraId="6A00A87B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sz w:val="24"/>
                <w:szCs w:val="24"/>
              </w:rPr>
              <w:t>序号</w:t>
            </w:r>
          </w:p>
        </w:tc>
        <w:tc>
          <w:tcPr>
            <w:tcW w:w="4595" w:type="dxa"/>
            <w:gridSpan w:val="2"/>
            <w:noWrap w:val="0"/>
            <w:vAlign w:val="center"/>
          </w:tcPr>
          <w:p w14:paraId="1C971950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sz w:val="24"/>
                <w:szCs w:val="24"/>
              </w:rPr>
              <w:t>截至20</w:t>
            </w:r>
            <w:r>
              <w:rPr>
                <w:rFonts w:hint="eastAsia" w:hAnsi="黑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hAnsi="黑体"/>
                <w:sz w:val="24"/>
                <w:szCs w:val="24"/>
              </w:rPr>
              <w:t>年末新增专项债券资金收入</w:t>
            </w:r>
          </w:p>
        </w:tc>
        <w:tc>
          <w:tcPr>
            <w:tcW w:w="3715" w:type="dxa"/>
            <w:gridSpan w:val="2"/>
            <w:noWrap w:val="0"/>
            <w:vAlign w:val="center"/>
          </w:tcPr>
          <w:p w14:paraId="17F3DCE0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sz w:val="24"/>
                <w:szCs w:val="24"/>
              </w:rPr>
              <w:t>截至20</w:t>
            </w:r>
            <w:r>
              <w:rPr>
                <w:rFonts w:hint="eastAsia" w:hAnsi="黑体"/>
                <w:sz w:val="24"/>
                <w:szCs w:val="24"/>
                <w:lang w:val="en-US" w:eastAsia="zh-CN"/>
              </w:rPr>
              <w:t>24</w:t>
            </w:r>
            <w:r>
              <w:rPr>
                <w:rFonts w:hint="eastAsia" w:hAnsi="黑体"/>
                <w:sz w:val="24"/>
                <w:szCs w:val="24"/>
              </w:rPr>
              <w:t>年末新增专项债券资金安排的支出</w:t>
            </w:r>
          </w:p>
        </w:tc>
      </w:tr>
      <w:tr w14:paraId="335F79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vMerge w:val="continue"/>
            <w:noWrap w:val="0"/>
            <w:vAlign w:val="center"/>
          </w:tcPr>
          <w:p w14:paraId="1B3FD6EC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674" w:type="dxa"/>
            <w:noWrap/>
            <w:vAlign w:val="center"/>
          </w:tcPr>
          <w:p w14:paraId="3ECA41E8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sz w:val="24"/>
                <w:szCs w:val="24"/>
              </w:rPr>
              <w:t>债券名称</w:t>
            </w:r>
          </w:p>
        </w:tc>
        <w:tc>
          <w:tcPr>
            <w:tcW w:w="1921" w:type="dxa"/>
            <w:noWrap/>
            <w:vAlign w:val="center"/>
          </w:tcPr>
          <w:p w14:paraId="58474506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sz w:val="24"/>
                <w:szCs w:val="24"/>
              </w:rPr>
              <w:t>金额</w:t>
            </w:r>
          </w:p>
        </w:tc>
        <w:tc>
          <w:tcPr>
            <w:tcW w:w="2779" w:type="dxa"/>
            <w:noWrap/>
            <w:vAlign w:val="center"/>
          </w:tcPr>
          <w:p w14:paraId="631D0BF2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sz w:val="24"/>
                <w:szCs w:val="24"/>
              </w:rPr>
              <w:t>支出功能分类</w:t>
            </w:r>
          </w:p>
        </w:tc>
        <w:tc>
          <w:tcPr>
            <w:tcW w:w="936" w:type="dxa"/>
            <w:noWrap/>
            <w:vAlign w:val="center"/>
          </w:tcPr>
          <w:p w14:paraId="7E61FEAD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sz w:val="24"/>
                <w:szCs w:val="24"/>
              </w:rPr>
              <w:t>金额</w:t>
            </w:r>
          </w:p>
        </w:tc>
      </w:tr>
      <w:tr w14:paraId="22CA0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noWrap/>
            <w:vAlign w:val="center"/>
          </w:tcPr>
          <w:p w14:paraId="61FF8D8A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sz w:val="24"/>
                <w:szCs w:val="24"/>
              </w:rPr>
              <w:t>合计</w:t>
            </w:r>
          </w:p>
        </w:tc>
        <w:tc>
          <w:tcPr>
            <w:tcW w:w="2674" w:type="dxa"/>
            <w:noWrap/>
            <w:vAlign w:val="center"/>
          </w:tcPr>
          <w:p w14:paraId="22269D4E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1921" w:type="dxa"/>
            <w:noWrap/>
            <w:vAlign w:val="center"/>
          </w:tcPr>
          <w:p w14:paraId="069D2956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779" w:type="dxa"/>
            <w:noWrap/>
            <w:vAlign w:val="center"/>
          </w:tcPr>
          <w:p w14:paraId="6909F305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936" w:type="dxa"/>
            <w:noWrap/>
            <w:vAlign w:val="center"/>
          </w:tcPr>
          <w:p w14:paraId="336BD5EA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</w:tr>
      <w:tr w14:paraId="206F2E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noWrap/>
            <w:vAlign w:val="center"/>
          </w:tcPr>
          <w:p w14:paraId="2C201353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sz w:val="24"/>
                <w:szCs w:val="24"/>
              </w:rPr>
              <w:t>1</w:t>
            </w:r>
          </w:p>
        </w:tc>
        <w:tc>
          <w:tcPr>
            <w:tcW w:w="2674" w:type="dxa"/>
            <w:noWrap/>
            <w:vAlign w:val="center"/>
          </w:tcPr>
          <w:p w14:paraId="70EBFD44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sz w:val="22"/>
                <w:szCs w:val="44"/>
              </w:rPr>
              <w:t>2024年广西壮族自治区政府产业园区专项债券（五期）—</w:t>
            </w:r>
            <w:r>
              <w:rPr>
                <w:rFonts w:hint="eastAsia" w:hAnsi="黑体"/>
                <w:sz w:val="22"/>
                <w:szCs w:val="44"/>
                <w:lang w:val="en-US" w:eastAsia="zh-CN"/>
              </w:rPr>
              <w:t xml:space="preserve"> </w:t>
            </w:r>
            <w:bookmarkStart w:id="0" w:name="_GoBack"/>
            <w:bookmarkEnd w:id="0"/>
            <w:r>
              <w:rPr>
                <w:rFonts w:hint="eastAsia" w:hAnsi="黑体"/>
                <w:sz w:val="22"/>
                <w:szCs w:val="44"/>
              </w:rPr>
              <w:t>—2024年广西壮族自治区政府专项债券（二十一期）</w:t>
            </w:r>
          </w:p>
        </w:tc>
        <w:tc>
          <w:tcPr>
            <w:tcW w:w="1921" w:type="dxa"/>
            <w:noWrap/>
            <w:vAlign w:val="center"/>
          </w:tcPr>
          <w:p w14:paraId="7952A5E8">
            <w:pPr>
              <w:jc w:val="center"/>
              <w:rPr>
                <w:rFonts w:hint="default" w:hAnsi="黑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hAnsi="黑体"/>
                <w:sz w:val="24"/>
                <w:szCs w:val="24"/>
                <w:lang w:val="en-US" w:eastAsia="zh-CN"/>
              </w:rPr>
              <w:t>1.70</w:t>
            </w:r>
          </w:p>
        </w:tc>
        <w:tc>
          <w:tcPr>
            <w:tcW w:w="2779" w:type="dxa"/>
            <w:noWrap/>
            <w:vAlign w:val="center"/>
          </w:tcPr>
          <w:p w14:paraId="5F8B582E">
            <w:pPr>
              <w:jc w:val="center"/>
              <w:rPr>
                <w:rFonts w:hint="eastAsia" w:hAnsi="黑体"/>
                <w:sz w:val="24"/>
                <w:szCs w:val="24"/>
              </w:rPr>
            </w:pPr>
            <w:r>
              <w:rPr>
                <w:rFonts w:hint="eastAsia" w:hAnsi="黑体"/>
                <w:color w:val="auto"/>
                <w:sz w:val="24"/>
                <w:szCs w:val="24"/>
                <w:highlight w:val="none"/>
              </w:rPr>
              <w:t>2290402 其他地方自行试点项目收益专项债券收入安排的支出</w:t>
            </w:r>
          </w:p>
        </w:tc>
        <w:tc>
          <w:tcPr>
            <w:tcW w:w="936" w:type="dxa"/>
            <w:noWrap/>
            <w:vAlign w:val="center"/>
          </w:tcPr>
          <w:p w14:paraId="25F8D607">
            <w:pPr>
              <w:jc w:val="center"/>
              <w:rPr>
                <w:rFonts w:hint="default" w:hAnsi="黑体" w:eastAsia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hAnsi="黑体"/>
                <w:sz w:val="24"/>
                <w:szCs w:val="24"/>
                <w:lang w:val="en-US" w:eastAsia="zh-CN"/>
              </w:rPr>
              <w:t>0.2103</w:t>
            </w:r>
          </w:p>
        </w:tc>
      </w:tr>
      <w:tr w14:paraId="32080C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noWrap/>
            <w:vAlign w:val="center"/>
          </w:tcPr>
          <w:p w14:paraId="2B427DA3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674" w:type="dxa"/>
            <w:noWrap/>
            <w:vAlign w:val="center"/>
          </w:tcPr>
          <w:p w14:paraId="1AF106DD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1921" w:type="dxa"/>
            <w:noWrap/>
            <w:vAlign w:val="center"/>
          </w:tcPr>
          <w:p w14:paraId="6B724A0B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779" w:type="dxa"/>
            <w:noWrap/>
            <w:vAlign w:val="center"/>
          </w:tcPr>
          <w:p w14:paraId="6E58648C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936" w:type="dxa"/>
            <w:noWrap/>
            <w:vAlign w:val="center"/>
          </w:tcPr>
          <w:p w14:paraId="0581D8F4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</w:tr>
      <w:tr w14:paraId="37445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noWrap/>
            <w:vAlign w:val="center"/>
          </w:tcPr>
          <w:p w14:paraId="3522C5E1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674" w:type="dxa"/>
            <w:noWrap/>
            <w:vAlign w:val="center"/>
          </w:tcPr>
          <w:p w14:paraId="501732A0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1921" w:type="dxa"/>
            <w:noWrap/>
            <w:vAlign w:val="center"/>
          </w:tcPr>
          <w:p w14:paraId="5EBDD3D9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779" w:type="dxa"/>
            <w:noWrap/>
            <w:vAlign w:val="center"/>
          </w:tcPr>
          <w:p w14:paraId="3BE75350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936" w:type="dxa"/>
            <w:noWrap/>
            <w:vAlign w:val="center"/>
          </w:tcPr>
          <w:p w14:paraId="3CFCA843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</w:tr>
      <w:tr w14:paraId="1D5C8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noWrap/>
            <w:vAlign w:val="center"/>
          </w:tcPr>
          <w:p w14:paraId="283E1A72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674" w:type="dxa"/>
            <w:noWrap/>
            <w:vAlign w:val="center"/>
          </w:tcPr>
          <w:p w14:paraId="3CC6741B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1921" w:type="dxa"/>
            <w:noWrap/>
            <w:vAlign w:val="center"/>
          </w:tcPr>
          <w:p w14:paraId="373353E5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779" w:type="dxa"/>
            <w:noWrap/>
            <w:vAlign w:val="center"/>
          </w:tcPr>
          <w:p w14:paraId="453FAECE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936" w:type="dxa"/>
            <w:noWrap/>
            <w:vAlign w:val="center"/>
          </w:tcPr>
          <w:p w14:paraId="43BFC71A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</w:tr>
      <w:tr w14:paraId="29A44B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noWrap/>
            <w:vAlign w:val="center"/>
          </w:tcPr>
          <w:p w14:paraId="4A2C5872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674" w:type="dxa"/>
            <w:noWrap/>
            <w:vAlign w:val="center"/>
          </w:tcPr>
          <w:p w14:paraId="4C4A0E1F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1921" w:type="dxa"/>
            <w:noWrap/>
            <w:vAlign w:val="center"/>
          </w:tcPr>
          <w:p w14:paraId="3F6B525F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779" w:type="dxa"/>
            <w:noWrap/>
            <w:vAlign w:val="center"/>
          </w:tcPr>
          <w:p w14:paraId="29054B58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936" w:type="dxa"/>
            <w:noWrap/>
            <w:vAlign w:val="center"/>
          </w:tcPr>
          <w:p w14:paraId="0DACC4F8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</w:tr>
      <w:tr w14:paraId="26FD6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noWrap/>
            <w:vAlign w:val="center"/>
          </w:tcPr>
          <w:p w14:paraId="3DF0B536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674" w:type="dxa"/>
            <w:noWrap/>
            <w:vAlign w:val="center"/>
          </w:tcPr>
          <w:p w14:paraId="3429A9FF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1921" w:type="dxa"/>
            <w:noWrap/>
            <w:vAlign w:val="center"/>
          </w:tcPr>
          <w:p w14:paraId="7163A60C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779" w:type="dxa"/>
            <w:noWrap/>
            <w:vAlign w:val="center"/>
          </w:tcPr>
          <w:p w14:paraId="722672FE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936" w:type="dxa"/>
            <w:noWrap/>
            <w:vAlign w:val="center"/>
          </w:tcPr>
          <w:p w14:paraId="15E88949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</w:tr>
      <w:tr w14:paraId="6DCF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noWrap/>
            <w:vAlign w:val="center"/>
          </w:tcPr>
          <w:p w14:paraId="2CA7A602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674" w:type="dxa"/>
            <w:noWrap/>
            <w:vAlign w:val="center"/>
          </w:tcPr>
          <w:p w14:paraId="2573472C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1921" w:type="dxa"/>
            <w:noWrap/>
            <w:vAlign w:val="center"/>
          </w:tcPr>
          <w:p w14:paraId="7A08BBB4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779" w:type="dxa"/>
            <w:noWrap/>
            <w:vAlign w:val="center"/>
          </w:tcPr>
          <w:p w14:paraId="58BC075C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936" w:type="dxa"/>
            <w:noWrap/>
            <w:vAlign w:val="center"/>
          </w:tcPr>
          <w:p w14:paraId="132BAFDA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</w:tr>
      <w:tr w14:paraId="595198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noWrap/>
            <w:vAlign w:val="center"/>
          </w:tcPr>
          <w:p w14:paraId="659AC89B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674" w:type="dxa"/>
            <w:noWrap/>
            <w:vAlign w:val="center"/>
          </w:tcPr>
          <w:p w14:paraId="47856268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1921" w:type="dxa"/>
            <w:noWrap/>
            <w:vAlign w:val="center"/>
          </w:tcPr>
          <w:p w14:paraId="0A6A54DE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779" w:type="dxa"/>
            <w:noWrap/>
            <w:vAlign w:val="center"/>
          </w:tcPr>
          <w:p w14:paraId="13AADA18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936" w:type="dxa"/>
            <w:noWrap/>
            <w:vAlign w:val="center"/>
          </w:tcPr>
          <w:p w14:paraId="26E3377C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</w:tr>
      <w:tr w14:paraId="463818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  <w:jc w:val="center"/>
        </w:trPr>
        <w:tc>
          <w:tcPr>
            <w:tcW w:w="792" w:type="dxa"/>
            <w:noWrap/>
            <w:vAlign w:val="center"/>
          </w:tcPr>
          <w:p w14:paraId="64DA454D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674" w:type="dxa"/>
            <w:noWrap/>
            <w:vAlign w:val="center"/>
          </w:tcPr>
          <w:p w14:paraId="103830ED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1921" w:type="dxa"/>
            <w:noWrap/>
            <w:vAlign w:val="center"/>
          </w:tcPr>
          <w:p w14:paraId="47009C42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2779" w:type="dxa"/>
            <w:noWrap/>
            <w:vAlign w:val="center"/>
          </w:tcPr>
          <w:p w14:paraId="029FAC49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  <w:tc>
          <w:tcPr>
            <w:tcW w:w="936" w:type="dxa"/>
            <w:noWrap/>
            <w:vAlign w:val="center"/>
          </w:tcPr>
          <w:p w14:paraId="3322111B">
            <w:pPr>
              <w:jc w:val="center"/>
              <w:rPr>
                <w:rFonts w:hint="eastAsia" w:hAnsi="黑体"/>
                <w:sz w:val="24"/>
                <w:szCs w:val="24"/>
              </w:rPr>
            </w:pPr>
          </w:p>
        </w:tc>
      </w:tr>
    </w:tbl>
    <w:p w14:paraId="1D4B567A">
      <w:pPr>
        <w:rPr>
          <w:rFonts w:hint="eastAsia" w:ascii="黑体" w:hAnsi="黑体" w:eastAsia="黑体"/>
        </w:rPr>
      </w:pPr>
    </w:p>
    <w:p w14:paraId="252F9FB6">
      <w:pPr>
        <w:rPr>
          <w:rFonts w:hint="eastAsia" w:ascii="黑体" w:hAnsi="黑体" w:eastAsia="黑体"/>
        </w:rPr>
      </w:pPr>
    </w:p>
    <w:p w14:paraId="5C744464">
      <w:pPr>
        <w:rPr>
          <w:rFonts w:hint="eastAsia" w:ascii="黑体" w:hAnsi="黑体" w:eastAsia="黑体"/>
        </w:rPr>
      </w:pPr>
    </w:p>
    <w:p w14:paraId="10C7DC9A">
      <w:pPr>
        <w:rPr>
          <w:rFonts w:hint="eastAsia" w:ascii="黑体" w:hAnsi="黑体" w:eastAsia="黑体"/>
        </w:rPr>
      </w:pPr>
    </w:p>
    <w:p w14:paraId="373870B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F53A158-B6D7-41F0-B415-F70C9F93F171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2" w:fontKey="{A5184AFB-B0CE-4837-A41C-117C7EE56596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249FBD87-A516-4330-AFD9-CC5B58A34C6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E39FE014-1CAC-46D3-8685-47BCA56865D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064644"/>
    <w:rsid w:val="004E43BF"/>
    <w:rsid w:val="02064644"/>
    <w:rsid w:val="056F54F3"/>
    <w:rsid w:val="07CD02C0"/>
    <w:rsid w:val="08A74FB5"/>
    <w:rsid w:val="09D73678"/>
    <w:rsid w:val="0BF422BF"/>
    <w:rsid w:val="0F16254C"/>
    <w:rsid w:val="11551A52"/>
    <w:rsid w:val="127557DC"/>
    <w:rsid w:val="12A165D1"/>
    <w:rsid w:val="19DB2D10"/>
    <w:rsid w:val="1B7F1479"/>
    <w:rsid w:val="209634ED"/>
    <w:rsid w:val="25E66CC5"/>
    <w:rsid w:val="37F30DCD"/>
    <w:rsid w:val="3A95616C"/>
    <w:rsid w:val="3BE253E0"/>
    <w:rsid w:val="3CD1792F"/>
    <w:rsid w:val="3CFC24D2"/>
    <w:rsid w:val="3D5D11C3"/>
    <w:rsid w:val="43454BD3"/>
    <w:rsid w:val="46C329DE"/>
    <w:rsid w:val="4E8642F1"/>
    <w:rsid w:val="513A1AEF"/>
    <w:rsid w:val="51F22443"/>
    <w:rsid w:val="526F57C8"/>
    <w:rsid w:val="5CEB0141"/>
    <w:rsid w:val="60DD3A26"/>
    <w:rsid w:val="68A613C0"/>
    <w:rsid w:val="6D0D1A0E"/>
    <w:rsid w:val="6D172DCB"/>
    <w:rsid w:val="71096990"/>
    <w:rsid w:val="7CCC3693"/>
    <w:rsid w:val="7D6A07B6"/>
    <w:rsid w:val="7DB67EA0"/>
    <w:rsid w:val="7E2B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142</Words>
  <Characters>167</Characters>
  <Lines>0</Lines>
  <Paragraphs>0</Paragraphs>
  <TotalTime>0</TotalTime>
  <ScaleCrop>false</ScaleCrop>
  <LinksUpToDate>false</LinksUpToDate>
  <CharactersWithSpaces>200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2025-07-11T08:49:00Z</dcterms:created>
  <dc:creator>boat</dc:creator>
  <cp:lastModifiedBy>boat</cp:lastModifiedBy>
  <cp:lastPrinted>2025-07-11T08:54:07Z</cp:lastPrinted>
  <dcterms:modified xsi:type="dcterms:W3CDTF">2025-07-11T09:18:03Z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14B5ED51DFA14B1FA635B850355CC0A8_11</vt:lpwstr>
  </property>
  <property fmtid="{D5CDD505-2E9C-101B-9397-08002B2CF9AE}" pid="4" name="KSOTemplateDocerSaveRecord">
    <vt:lpwstr>eyJoZGlkIjoiNjQ3NmZiZGYzYjZjN2I5ZDk3MzdmMDAwZGJiNzRlZDQiLCJ1c2VySWQiOiI3MDEzNDc2OTQifQ==</vt:lpwstr>
  </property>
</Properties>
</file>