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410C9"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firstLine="0" w:firstLineChars="0"/>
        <w:jc w:val="center"/>
        <w:textAlignment w:val="auto"/>
        <w:outlineLvl w:val="9"/>
        <w:rPr>
          <w:rFonts w:ascii="Times New Roman" w:cs="Times New Roman"/>
          <w:color w:val="auto"/>
          <w:sz w:val="48"/>
          <w:szCs w:val="48"/>
        </w:rPr>
      </w:pPr>
      <w:bookmarkStart w:id="0" w:name="_Toc11590"/>
      <w:bookmarkStart w:id="1" w:name="_Toc3918"/>
    </w:p>
    <w:bookmarkEnd w:id="0"/>
    <w:bookmarkEnd w:id="1"/>
    <w:p w14:paraId="37F4F88F">
      <w:pPr>
        <w:pStyle w:val="12"/>
        <w:spacing w:before="360" w:beforeLines="150" w:after="360" w:afterLines="150" w:line="580" w:lineRule="exact"/>
        <w:ind w:firstLine="236" w:firstLineChars="49"/>
        <w:jc w:val="center"/>
        <w:outlineLvl w:val="9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  <w:t>河池市大任产业园污水处理厂（江南污水处理厂二期）项目</w:t>
      </w:r>
    </w:p>
    <w:p w14:paraId="3FEA06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  <w:t>竣工环境保护验收监测方案</w:t>
      </w:r>
    </w:p>
    <w:p w14:paraId="333AD2B1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7A90AD72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721D131D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4A9B8915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  <w:bookmarkStart w:id="2" w:name="_GoBack"/>
      <w:bookmarkEnd w:id="2"/>
    </w:p>
    <w:p w14:paraId="10561027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44781109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641C6157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59E92958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43E51881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08AD357C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564B3B6E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7C0A2326">
      <w:pPr>
        <w:jc w:val="center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299B0F4C">
      <w:pPr>
        <w:jc w:val="both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48"/>
          <w:szCs w:val="48"/>
          <w:lang w:val="en-US" w:eastAsia="zh-CN" w:bidi="ar-SA"/>
        </w:rPr>
      </w:pPr>
    </w:p>
    <w:p w14:paraId="301218D9">
      <w:pPr>
        <w:ind w:firstLine="562" w:firstLineChars="200"/>
        <w:jc w:val="center"/>
        <w:rPr>
          <w:rFonts w:hint="eastAsia" w:ascii="Times New Roman" w:cs="Times New Roman"/>
          <w:b/>
          <w:bCs/>
          <w:color w:val="auto"/>
          <w:kern w:val="44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cs="Times New Roman"/>
          <w:b/>
          <w:bCs/>
          <w:color w:val="auto"/>
          <w:kern w:val="44"/>
          <w:sz w:val="28"/>
          <w:szCs w:val="28"/>
          <w:lang w:val="en-US" w:eastAsia="zh-CN" w:bidi="ar-SA"/>
        </w:rPr>
        <w:t>2025年6月25日</w:t>
      </w:r>
    </w:p>
    <w:p w14:paraId="7CF540C4">
      <w:pPr>
        <w:numPr>
          <w:ilvl w:val="0"/>
          <w:numId w:val="0"/>
        </w:numPr>
        <w:jc w:val="both"/>
        <w:rPr>
          <w:rFonts w:hint="eastAsia" w:ascii="Times New Roman" w:cs="Times New Roman"/>
          <w:b/>
          <w:bCs/>
          <w:color w:val="auto"/>
          <w:kern w:val="44"/>
          <w:sz w:val="28"/>
          <w:szCs w:val="28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lang w:val="en-US" w:eastAsia="zh-CN" w:bidi="ar-SA"/>
        </w:rPr>
        <w:t>一、</w:t>
      </w:r>
      <w:r>
        <w:rPr>
          <w:rFonts w:hint="eastAsia" w:ascii="Times New Roman" w:cs="Times New Roman"/>
          <w:b/>
          <w:bCs/>
          <w:color w:val="auto"/>
          <w:kern w:val="44"/>
          <w:sz w:val="28"/>
          <w:szCs w:val="28"/>
          <w:lang w:val="en-US" w:eastAsia="zh-CN" w:bidi="ar-SA"/>
        </w:rPr>
        <w:t>监测信息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159"/>
        <w:gridCol w:w="3300"/>
        <w:gridCol w:w="1239"/>
        <w:gridCol w:w="1553"/>
      </w:tblGrid>
      <w:tr w14:paraId="65C6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pct"/>
            <w:vMerge w:val="restart"/>
            <w:vAlign w:val="center"/>
          </w:tcPr>
          <w:p w14:paraId="54D7451B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委托方</w:t>
            </w:r>
          </w:p>
          <w:p w14:paraId="45EF45D1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信 息</w:t>
            </w:r>
          </w:p>
        </w:tc>
        <w:tc>
          <w:tcPr>
            <w:tcW w:w="680" w:type="pct"/>
            <w:vAlign w:val="center"/>
          </w:tcPr>
          <w:p w14:paraId="1E8754A5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名称</w:t>
            </w:r>
          </w:p>
        </w:tc>
        <w:tc>
          <w:tcPr>
            <w:tcW w:w="3574" w:type="pct"/>
            <w:gridSpan w:val="3"/>
            <w:vAlign w:val="center"/>
          </w:tcPr>
          <w:p w14:paraId="7EF0BE3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河池大任创新发展投资有限责任公司</w:t>
            </w:r>
          </w:p>
        </w:tc>
      </w:tr>
      <w:tr w14:paraId="327F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744" w:type="pct"/>
            <w:vMerge w:val="continue"/>
            <w:vAlign w:val="center"/>
          </w:tcPr>
          <w:p w14:paraId="0FAE4AB9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  <w:tc>
          <w:tcPr>
            <w:tcW w:w="680" w:type="pct"/>
            <w:vAlign w:val="center"/>
          </w:tcPr>
          <w:p w14:paraId="768FF4BC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地  址</w:t>
            </w:r>
          </w:p>
        </w:tc>
        <w:tc>
          <w:tcPr>
            <w:tcW w:w="1936" w:type="pct"/>
            <w:vAlign w:val="center"/>
          </w:tcPr>
          <w:p w14:paraId="2563760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河池市大任产业园高新大道与工业大道交叉口处</w:t>
            </w:r>
          </w:p>
        </w:tc>
        <w:tc>
          <w:tcPr>
            <w:tcW w:w="727" w:type="pct"/>
            <w:vAlign w:val="center"/>
          </w:tcPr>
          <w:p w14:paraId="6D96FEB5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邮政编码</w:t>
            </w:r>
          </w:p>
        </w:tc>
        <w:tc>
          <w:tcPr>
            <w:tcW w:w="911" w:type="pct"/>
            <w:vAlign w:val="center"/>
          </w:tcPr>
          <w:p w14:paraId="3684260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54700</w:t>
            </w:r>
          </w:p>
        </w:tc>
      </w:tr>
      <w:tr w14:paraId="31DD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pct"/>
            <w:vMerge w:val="continue"/>
            <w:vAlign w:val="center"/>
          </w:tcPr>
          <w:p w14:paraId="7A65EDFF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  <w:tc>
          <w:tcPr>
            <w:tcW w:w="680" w:type="pct"/>
            <w:vAlign w:val="center"/>
          </w:tcPr>
          <w:p w14:paraId="449E4BCC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联系电话</w:t>
            </w:r>
          </w:p>
        </w:tc>
        <w:tc>
          <w:tcPr>
            <w:tcW w:w="1936" w:type="pct"/>
            <w:vAlign w:val="center"/>
          </w:tcPr>
          <w:p w14:paraId="1F3D6D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  <w:t>18977835030</w:t>
            </w:r>
          </w:p>
        </w:tc>
        <w:tc>
          <w:tcPr>
            <w:tcW w:w="727" w:type="pct"/>
            <w:vAlign w:val="center"/>
          </w:tcPr>
          <w:p w14:paraId="6FAC3E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</w:rPr>
              <w:t>联系人</w:t>
            </w:r>
          </w:p>
        </w:tc>
        <w:tc>
          <w:tcPr>
            <w:tcW w:w="911" w:type="pct"/>
            <w:vAlign w:val="center"/>
          </w:tcPr>
          <w:p w14:paraId="5EE2F1E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  <w:t>罗总</w:t>
            </w:r>
          </w:p>
        </w:tc>
      </w:tr>
      <w:tr w14:paraId="0176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pct"/>
            <w:vMerge w:val="restart"/>
            <w:vAlign w:val="center"/>
          </w:tcPr>
          <w:p w14:paraId="51A94AAC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受检方</w:t>
            </w:r>
          </w:p>
          <w:p w14:paraId="61AA54E6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信 息</w:t>
            </w:r>
          </w:p>
        </w:tc>
        <w:tc>
          <w:tcPr>
            <w:tcW w:w="680" w:type="pct"/>
            <w:vAlign w:val="center"/>
          </w:tcPr>
          <w:p w14:paraId="27378EE0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名称</w:t>
            </w:r>
          </w:p>
        </w:tc>
        <w:tc>
          <w:tcPr>
            <w:tcW w:w="3574" w:type="pct"/>
            <w:gridSpan w:val="3"/>
            <w:vAlign w:val="center"/>
          </w:tcPr>
          <w:p w14:paraId="116A5BC3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河池大任创新发展投资有限责任公司</w:t>
            </w:r>
          </w:p>
        </w:tc>
      </w:tr>
      <w:tr w14:paraId="28F0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744" w:type="pct"/>
            <w:vMerge w:val="continue"/>
            <w:vAlign w:val="center"/>
          </w:tcPr>
          <w:p w14:paraId="0704DD2B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  <w:tc>
          <w:tcPr>
            <w:tcW w:w="680" w:type="pct"/>
            <w:vAlign w:val="center"/>
          </w:tcPr>
          <w:p w14:paraId="5F6E83F5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地  址</w:t>
            </w:r>
          </w:p>
        </w:tc>
        <w:tc>
          <w:tcPr>
            <w:tcW w:w="1936" w:type="pct"/>
            <w:vAlign w:val="center"/>
          </w:tcPr>
          <w:p w14:paraId="5C3955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河池市大任产业园高新大道与工业大道交叉口处</w:t>
            </w:r>
          </w:p>
        </w:tc>
        <w:tc>
          <w:tcPr>
            <w:tcW w:w="727" w:type="pct"/>
            <w:vAlign w:val="center"/>
          </w:tcPr>
          <w:p w14:paraId="133388BC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邮政编码</w:t>
            </w:r>
          </w:p>
        </w:tc>
        <w:tc>
          <w:tcPr>
            <w:tcW w:w="911" w:type="pct"/>
            <w:vAlign w:val="center"/>
          </w:tcPr>
          <w:p w14:paraId="3AD5E4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名称</w:t>
            </w:r>
          </w:p>
        </w:tc>
      </w:tr>
      <w:tr w14:paraId="3F40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pct"/>
            <w:vMerge w:val="continue"/>
            <w:vAlign w:val="center"/>
          </w:tcPr>
          <w:p w14:paraId="0FE1A175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</w:p>
        </w:tc>
        <w:tc>
          <w:tcPr>
            <w:tcW w:w="680" w:type="pct"/>
            <w:vAlign w:val="center"/>
          </w:tcPr>
          <w:p w14:paraId="7FF4B7E8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联系电话</w:t>
            </w:r>
          </w:p>
        </w:tc>
        <w:tc>
          <w:tcPr>
            <w:tcW w:w="1936" w:type="pct"/>
            <w:vAlign w:val="center"/>
          </w:tcPr>
          <w:p w14:paraId="4413F96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  <w:t>18977835030</w:t>
            </w:r>
          </w:p>
        </w:tc>
        <w:tc>
          <w:tcPr>
            <w:tcW w:w="727" w:type="pct"/>
            <w:vAlign w:val="center"/>
          </w:tcPr>
          <w:p w14:paraId="2F7D2607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联系人</w:t>
            </w:r>
          </w:p>
        </w:tc>
        <w:tc>
          <w:tcPr>
            <w:tcW w:w="911" w:type="pct"/>
            <w:vAlign w:val="center"/>
          </w:tcPr>
          <w:p w14:paraId="612556C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auto"/>
                <w:szCs w:val="24"/>
              </w:rPr>
              <w:t>名称</w:t>
            </w:r>
          </w:p>
        </w:tc>
      </w:tr>
    </w:tbl>
    <w:p w14:paraId="78CDA6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cs="Times New Roman"/>
          <w:b/>
          <w:bCs/>
          <w:color w:val="auto"/>
          <w:kern w:val="44"/>
          <w:sz w:val="28"/>
          <w:szCs w:val="28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lang w:val="en-US" w:eastAsia="zh-CN" w:bidi="ar-SA"/>
        </w:rPr>
        <w:t>二、</w:t>
      </w:r>
      <w:r>
        <w:rPr>
          <w:rFonts w:hint="eastAsia" w:ascii="Times New Roman" w:cs="Times New Roman"/>
          <w:b/>
          <w:bCs/>
          <w:color w:val="auto"/>
          <w:kern w:val="44"/>
          <w:sz w:val="28"/>
          <w:szCs w:val="28"/>
          <w:lang w:val="en-US" w:eastAsia="zh-CN" w:bidi="ar-SA"/>
        </w:rPr>
        <w:t>项目概况</w:t>
      </w:r>
    </w:p>
    <w:p w14:paraId="75AA3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1、项目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名称：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河池市大任产业园污水处理厂（江南污水处理厂二期）项目</w:t>
      </w:r>
    </w:p>
    <w:p w14:paraId="1F794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2、建设单位：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河池大任创新发展投资有限责任公司</w:t>
      </w:r>
    </w:p>
    <w:p w14:paraId="4BE8A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3、项目性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质：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扩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建</w:t>
      </w:r>
    </w:p>
    <w:p w14:paraId="7FB52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4、建设地点：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河池市大任产业园高新大道与工业大道交叉口处</w:t>
      </w:r>
    </w:p>
    <w:p w14:paraId="0DBDE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5、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地理坐标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E108°13′41.16″，N24°35′48.51″</w:t>
      </w:r>
    </w:p>
    <w:p w14:paraId="3E818D7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三、监测内容</w:t>
      </w:r>
    </w:p>
    <w:p w14:paraId="202600B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1、地表水监测</w:t>
      </w:r>
    </w:p>
    <w:p w14:paraId="3D1F9F7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本次共设2个地表水监测点位，具体监测点位置见表3-1及附图。</w:t>
      </w:r>
    </w:p>
    <w:p w14:paraId="0C848513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>表3-1  废水监测点位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708"/>
        <w:gridCol w:w="2852"/>
        <w:gridCol w:w="1077"/>
        <w:gridCol w:w="2139"/>
      </w:tblGrid>
      <w:tr w14:paraId="79D8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436" w:type="pct"/>
            <w:vAlign w:val="center"/>
          </w:tcPr>
          <w:p w14:paraId="6F8F9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</w:rPr>
              <w:t>监测</w:t>
            </w:r>
          </w:p>
          <w:p w14:paraId="616AA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</w:rPr>
              <w:t>点位</w:t>
            </w:r>
          </w:p>
        </w:tc>
        <w:tc>
          <w:tcPr>
            <w:tcW w:w="1002" w:type="pct"/>
            <w:vAlign w:val="center"/>
          </w:tcPr>
          <w:p w14:paraId="02783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</w:rPr>
              <w:t>位置</w:t>
            </w:r>
          </w:p>
        </w:tc>
        <w:tc>
          <w:tcPr>
            <w:tcW w:w="1673" w:type="pct"/>
            <w:vAlign w:val="center"/>
          </w:tcPr>
          <w:p w14:paraId="0426E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监测因子</w:t>
            </w:r>
          </w:p>
        </w:tc>
        <w:tc>
          <w:tcPr>
            <w:tcW w:w="632" w:type="pct"/>
            <w:vAlign w:val="center"/>
          </w:tcPr>
          <w:p w14:paraId="4943B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监测频次</w:t>
            </w:r>
          </w:p>
        </w:tc>
        <w:tc>
          <w:tcPr>
            <w:tcW w:w="1254" w:type="pct"/>
            <w:vAlign w:val="center"/>
          </w:tcPr>
          <w:p w14:paraId="1537F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监测方法及评价标准</w:t>
            </w:r>
          </w:p>
        </w:tc>
      </w:tr>
      <w:tr w14:paraId="3D5A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  <w:jc w:val="center"/>
        </w:trPr>
        <w:tc>
          <w:tcPr>
            <w:tcW w:w="436" w:type="pct"/>
            <w:vAlign w:val="center"/>
          </w:tcPr>
          <w:p w14:paraId="397AD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02" w:type="pct"/>
            <w:vAlign w:val="center"/>
          </w:tcPr>
          <w:p w14:paraId="2245A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污水处理厂排污口上游约500m</w:t>
            </w:r>
          </w:p>
        </w:tc>
        <w:tc>
          <w:tcPr>
            <w:tcW w:w="1673" w:type="pct"/>
            <w:vMerge w:val="restart"/>
            <w:vAlign w:val="center"/>
          </w:tcPr>
          <w:p w14:paraId="48D5E8A6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水温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、pH值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、溶解氧、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悬浮物、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高锰酸盐指数、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化学需氧量、五日生化需氧量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氨氮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总氮、总磷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石油类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粪大肠菌群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阴离子表面活性剂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挥发酚、氰化物、硫化物、氯化物、色度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、铜、锌、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铅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镉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汞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砷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、锑、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六价铬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总铬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、镍、铊、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烷基汞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、硝基苯、苯胺类化合物、二氯甲烷、甲苯、全盐量、总有机碳；</w:t>
            </w:r>
          </w:p>
        </w:tc>
        <w:tc>
          <w:tcPr>
            <w:tcW w:w="632" w:type="pct"/>
            <w:vMerge w:val="restart"/>
            <w:vAlign w:val="center"/>
          </w:tcPr>
          <w:p w14:paraId="78166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连续监测2天，1天/次</w:t>
            </w:r>
          </w:p>
        </w:tc>
        <w:tc>
          <w:tcPr>
            <w:tcW w:w="1254" w:type="pct"/>
            <w:vMerge w:val="restart"/>
            <w:vAlign w:val="center"/>
          </w:tcPr>
          <w:p w14:paraId="5B93121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cs="Times New Roman" w:hAnsiTheme="minorHAnsi" w:eastAsiaTheme="minorEastAsia"/>
                <w:b/>
                <w:bCs/>
                <w:color w:val="auto"/>
                <w:kern w:val="44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/>
                <w:color w:val="auto"/>
                <w:sz w:val="21"/>
                <w:szCs w:val="21"/>
              </w:rPr>
              <w:t>《地表水环境质量标准》（GB3838-2002）中的Ⅲ类标准。</w:t>
            </w:r>
          </w:p>
          <w:p w14:paraId="776D9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0FD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36" w:type="pct"/>
            <w:vAlign w:val="center"/>
          </w:tcPr>
          <w:p w14:paraId="255B1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002" w:type="pct"/>
            <w:vAlign w:val="center"/>
          </w:tcPr>
          <w:p w14:paraId="0A109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污水处理厂排污口下游约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2000m</w:t>
            </w:r>
          </w:p>
        </w:tc>
        <w:tc>
          <w:tcPr>
            <w:tcW w:w="1673" w:type="pct"/>
            <w:vMerge w:val="continue"/>
            <w:vAlign w:val="center"/>
          </w:tcPr>
          <w:p w14:paraId="15368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2" w:type="pct"/>
            <w:vMerge w:val="continue"/>
            <w:vAlign w:val="center"/>
          </w:tcPr>
          <w:p w14:paraId="030BC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4" w:type="pct"/>
            <w:vMerge w:val="continue"/>
            <w:vAlign w:val="center"/>
          </w:tcPr>
          <w:p w14:paraId="0AEED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77B6D9CC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</w:pPr>
    </w:p>
    <w:p w14:paraId="01F12EDC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2、地下水监测</w:t>
      </w:r>
    </w:p>
    <w:p w14:paraId="5E398476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本次共设1个地表水监测点位，具体监测点位置见表3-2及附图。</w:t>
      </w:r>
    </w:p>
    <w:p w14:paraId="794B45D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261"/>
          <w:tab w:val="center" w:pos="44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ab/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ab/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>表3-2  地下水监测点位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200"/>
        <w:gridCol w:w="2087"/>
        <w:gridCol w:w="1154"/>
        <w:gridCol w:w="1741"/>
        <w:gridCol w:w="1534"/>
      </w:tblGrid>
      <w:tr w14:paraId="5F82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471" w:type="pct"/>
            <w:vAlign w:val="center"/>
          </w:tcPr>
          <w:p w14:paraId="1C4B8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监测</w:t>
            </w:r>
          </w:p>
          <w:p w14:paraId="76FE2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点位</w:t>
            </w:r>
          </w:p>
        </w:tc>
        <w:tc>
          <w:tcPr>
            <w:tcW w:w="704" w:type="pct"/>
            <w:vAlign w:val="center"/>
          </w:tcPr>
          <w:p w14:paraId="6DB4A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位置</w:t>
            </w:r>
          </w:p>
        </w:tc>
        <w:tc>
          <w:tcPr>
            <w:tcW w:w="1224" w:type="pct"/>
            <w:vAlign w:val="center"/>
          </w:tcPr>
          <w:p w14:paraId="76A31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监测因子</w:t>
            </w:r>
          </w:p>
        </w:tc>
        <w:tc>
          <w:tcPr>
            <w:tcW w:w="677" w:type="pct"/>
            <w:vAlign w:val="center"/>
          </w:tcPr>
          <w:p w14:paraId="06872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监测频次</w:t>
            </w:r>
          </w:p>
        </w:tc>
        <w:tc>
          <w:tcPr>
            <w:tcW w:w="1021" w:type="pct"/>
            <w:vAlign w:val="center"/>
          </w:tcPr>
          <w:p w14:paraId="6D300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与项目用地的地下水流场关系</w:t>
            </w:r>
          </w:p>
        </w:tc>
        <w:tc>
          <w:tcPr>
            <w:tcW w:w="900" w:type="pct"/>
            <w:vAlign w:val="center"/>
          </w:tcPr>
          <w:p w14:paraId="63A95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监测方法</w:t>
            </w:r>
          </w:p>
          <w:p w14:paraId="776B6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及评价标准</w:t>
            </w:r>
          </w:p>
        </w:tc>
      </w:tr>
      <w:tr w14:paraId="4F03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1" w:type="pct"/>
            <w:vAlign w:val="center"/>
          </w:tcPr>
          <w:p w14:paraId="4AFA3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SW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04" w:type="pct"/>
            <w:vAlign w:val="center"/>
          </w:tcPr>
          <w:p w14:paraId="45F8A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场区</w:t>
            </w:r>
          </w:p>
          <w:p w14:paraId="7A4E3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北面</w:t>
            </w:r>
          </w:p>
        </w:tc>
        <w:tc>
          <w:tcPr>
            <w:tcW w:w="1224" w:type="pct"/>
            <w:vAlign w:val="center"/>
          </w:tcPr>
          <w:p w14:paraId="3DCD9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pH值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、溶解性总固体、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总硬度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、耗氧量、氨氮、硝酸盐、亚硝酸盐、氟化物、氰化物、甲苯、二氯甲烷、总大肠菌群、铁、铜、锌、铅、镉、汞、砷、锑、六价铬、氯化物（C1-）、硫酸（SO4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2-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）、CO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2-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、HCO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、K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+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、Na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+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、Ca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2+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、Mg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</w:rPr>
              <w:t>2+</w:t>
            </w:r>
          </w:p>
        </w:tc>
        <w:tc>
          <w:tcPr>
            <w:tcW w:w="677" w:type="pct"/>
            <w:vAlign w:val="center"/>
          </w:tcPr>
          <w:p w14:paraId="43880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连续监测2天，2次/天</w:t>
            </w:r>
          </w:p>
        </w:tc>
        <w:tc>
          <w:tcPr>
            <w:tcW w:w="1021" w:type="pct"/>
            <w:vAlign w:val="center"/>
          </w:tcPr>
          <w:p w14:paraId="7FB33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厂区下游</w:t>
            </w:r>
          </w:p>
        </w:tc>
        <w:tc>
          <w:tcPr>
            <w:tcW w:w="900" w:type="pct"/>
            <w:vAlign w:val="center"/>
          </w:tcPr>
          <w:p w14:paraId="4E2BF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地下水环境监测技术规范》（HJ/T 164-2004）、《地下水质量标准》（GB/T 14848-2017）Ⅲ类标准</w:t>
            </w:r>
          </w:p>
        </w:tc>
      </w:tr>
    </w:tbl>
    <w:p w14:paraId="1CD763F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3、废水监测</w:t>
      </w:r>
    </w:p>
    <w:p w14:paraId="11D373E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本次共设2个废水监测点位，具体监测点位置见表3-3及附图。</w:t>
      </w:r>
    </w:p>
    <w:p w14:paraId="215D6B9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>表3-3  废水监测点位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268"/>
        <w:gridCol w:w="2845"/>
        <w:gridCol w:w="1260"/>
        <w:gridCol w:w="2345"/>
      </w:tblGrid>
      <w:tr w14:paraId="1433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470" w:type="pct"/>
            <w:vAlign w:val="center"/>
          </w:tcPr>
          <w:p w14:paraId="20F3EB3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highlight w:val="none"/>
                <w:lang w:eastAsia="zh-CN"/>
              </w:rPr>
              <w:t>监测</w:t>
            </w:r>
          </w:p>
          <w:p w14:paraId="6A7B38E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highlight w:val="none"/>
                <w:lang w:eastAsia="zh-CN"/>
              </w:rPr>
              <w:t>点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</w:rPr>
              <w:t>位</w:t>
            </w:r>
          </w:p>
        </w:tc>
        <w:tc>
          <w:tcPr>
            <w:tcW w:w="744" w:type="pct"/>
            <w:vAlign w:val="center"/>
          </w:tcPr>
          <w:p w14:paraId="7BEF668B">
            <w:pPr>
              <w:jc w:val="center"/>
              <w:rPr>
                <w:rFonts w:ascii="Times New Roman" w:hAnsi="Times New Roman" w:eastAsia="宋体" w:cs="Times New Roman"/>
                <w:b/>
                <w:color w:val="auto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</w:rPr>
              <w:t>位置</w:t>
            </w:r>
          </w:p>
        </w:tc>
        <w:tc>
          <w:tcPr>
            <w:tcW w:w="1669" w:type="pct"/>
            <w:vAlign w:val="center"/>
          </w:tcPr>
          <w:p w14:paraId="42A87D15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  <w:t>监测因子</w:t>
            </w:r>
          </w:p>
        </w:tc>
        <w:tc>
          <w:tcPr>
            <w:tcW w:w="739" w:type="pct"/>
            <w:vAlign w:val="center"/>
          </w:tcPr>
          <w:p w14:paraId="4CEEBA86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  <w:t>监测频次</w:t>
            </w:r>
          </w:p>
          <w:p w14:paraId="19AD8B52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  <w:t>及时间</w:t>
            </w:r>
          </w:p>
        </w:tc>
        <w:tc>
          <w:tcPr>
            <w:tcW w:w="1376" w:type="pct"/>
            <w:vAlign w:val="center"/>
          </w:tcPr>
          <w:p w14:paraId="21E52ED8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lang w:eastAsia="zh-CN"/>
              </w:rPr>
              <w:t>监测方法及评价标准</w:t>
            </w:r>
          </w:p>
        </w:tc>
      </w:tr>
      <w:tr w14:paraId="5CD0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470" w:type="pct"/>
            <w:vAlign w:val="center"/>
          </w:tcPr>
          <w:p w14:paraId="69799CEF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W</w:t>
            </w:r>
            <w:r>
              <w:rPr>
                <w:rFonts w:ascii="Times New Roman" w:hAnsi="Times New Roman" w:eastAsia="宋体" w:cs="Times New Roman"/>
                <w:color w:val="auto"/>
                <w:highlight w:val="none"/>
              </w:rPr>
              <w:t>1</w:t>
            </w:r>
          </w:p>
        </w:tc>
        <w:tc>
          <w:tcPr>
            <w:tcW w:w="744" w:type="pct"/>
            <w:vAlign w:val="center"/>
          </w:tcPr>
          <w:p w14:paraId="3B1FB9E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废水进水口</w:t>
            </w:r>
          </w:p>
        </w:tc>
        <w:tc>
          <w:tcPr>
            <w:tcW w:w="1669" w:type="pct"/>
            <w:vMerge w:val="restart"/>
            <w:vAlign w:val="center"/>
          </w:tcPr>
          <w:p w14:paraId="083DF5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流量、色度、总铅、硫化物、化学需氧量、急性毒性、二氯甲烷、总氰化物、总汞、苯胺类、pH值、总镍、甲苯、硝基苯类、总铬、总氮（以N计）、总镉、总锌、氨氮（NH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-N）、烷基汞、挥发酚、总铜、水温、六价铬、总磷（以P计）、粪大肠菌群、阴离子表面活性剂、动植物油、石油类、五日生化需氧量、总有机碳、悬浮物、总砷</w:t>
            </w:r>
          </w:p>
        </w:tc>
        <w:tc>
          <w:tcPr>
            <w:tcW w:w="739" w:type="pct"/>
            <w:vMerge w:val="restart"/>
            <w:vAlign w:val="center"/>
          </w:tcPr>
          <w:p w14:paraId="044F56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  <w:t>连续监测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2天，4次/天</w:t>
            </w:r>
          </w:p>
        </w:tc>
        <w:tc>
          <w:tcPr>
            <w:tcW w:w="1376" w:type="pct"/>
            <w:vMerge w:val="restart"/>
            <w:vAlign w:val="center"/>
          </w:tcPr>
          <w:p w14:paraId="7E297A4E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  <w:t>《污水监测技术规范》（HJ91.1-2019）、《城镇污水处理厂污染物排放标准》（GB 18918-2002）中的一级A标准，二氯甲烷执行《化学合成类制药工业水污染物排放标准》（GB 21904－2008）中标准。</w:t>
            </w:r>
          </w:p>
        </w:tc>
      </w:tr>
      <w:tr w14:paraId="3BB3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70" w:type="pct"/>
            <w:vAlign w:val="center"/>
          </w:tcPr>
          <w:p w14:paraId="0B3BE737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W</w:t>
            </w:r>
            <w:r>
              <w:rPr>
                <w:rFonts w:ascii="Times New Roman" w:hAnsi="Times New Roman" w:eastAsia="宋体" w:cs="Times New Roman"/>
                <w:color w:val="auto"/>
                <w:highlight w:val="none"/>
              </w:rPr>
              <w:t>2</w:t>
            </w:r>
          </w:p>
        </w:tc>
        <w:tc>
          <w:tcPr>
            <w:tcW w:w="744" w:type="pct"/>
            <w:vAlign w:val="center"/>
          </w:tcPr>
          <w:p w14:paraId="5C7F8266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  <w:t>废水出水口</w:t>
            </w:r>
          </w:p>
        </w:tc>
        <w:tc>
          <w:tcPr>
            <w:tcW w:w="1669" w:type="pct"/>
            <w:vMerge w:val="continue"/>
            <w:vAlign w:val="center"/>
          </w:tcPr>
          <w:p w14:paraId="628D6279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739" w:type="pct"/>
            <w:vMerge w:val="continue"/>
            <w:vAlign w:val="center"/>
          </w:tcPr>
          <w:p w14:paraId="7725C793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376" w:type="pct"/>
            <w:vMerge w:val="continue"/>
            <w:vAlign w:val="center"/>
          </w:tcPr>
          <w:p w14:paraId="6D5A7E0D">
            <w:pPr>
              <w:jc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</w:p>
        </w:tc>
      </w:tr>
    </w:tbl>
    <w:p w14:paraId="1DFDE1EF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4、废气监测</w:t>
      </w:r>
    </w:p>
    <w:p w14:paraId="6ECCE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4.1无组织废气监测</w:t>
      </w:r>
    </w:p>
    <w:p w14:paraId="07C36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b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本次共设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个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无组织废气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监测点，具体监测点位置见表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3-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及附图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监测期间同时观测气温、气压、风向、风速、云量等气象要素。记录监测点的坐标信息，对设备及周边环境进行拍照记录，对监测期间厂区运行工况进行记录。环境空气监测必须在晴朗天气情况下进行。</w:t>
      </w:r>
    </w:p>
    <w:p w14:paraId="678FF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>表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  <w:lang w:val="en-US" w:eastAsia="zh-CN"/>
        </w:rPr>
        <w:t>3-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 xml:space="preserve">  环境空气监测布点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495"/>
        <w:gridCol w:w="1660"/>
        <w:gridCol w:w="1774"/>
        <w:gridCol w:w="2947"/>
      </w:tblGrid>
      <w:tr w14:paraId="1D1B9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DA93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Cs w:val="21"/>
              </w:rPr>
              <w:t>编号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39F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Cs w:val="21"/>
              </w:rPr>
              <w:t>监测点位名称</w:t>
            </w: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160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监测因子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79418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监测频次及时间</w:t>
            </w:r>
          </w:p>
        </w:tc>
        <w:tc>
          <w:tcPr>
            <w:tcW w:w="1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A0E75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监测方法及评价标准</w:t>
            </w:r>
          </w:p>
        </w:tc>
      </w:tr>
      <w:tr w14:paraId="78621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60F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Q1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6E2D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厂界上风向</w:t>
            </w:r>
          </w:p>
        </w:tc>
        <w:tc>
          <w:tcPr>
            <w:tcW w:w="97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C22CF0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1"/>
              </w:rPr>
              <w:t>硫化氢、氨气</w:t>
            </w:r>
            <w:r>
              <w:rPr>
                <w:rFonts w:hint="eastAsia" w:eastAsia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color w:val="auto"/>
                <w:szCs w:val="21"/>
                <w:lang w:val="en-US" w:eastAsia="zh-CN"/>
              </w:rPr>
              <w:t>臭气浓度、</w:t>
            </w:r>
            <w:r>
              <w:rPr>
                <w:rFonts w:hint="eastAsia" w:eastAsia="宋体"/>
                <w:color w:val="auto"/>
                <w:szCs w:val="21"/>
                <w:lang w:val="en-US" w:eastAsia="zh-CN"/>
              </w:rPr>
              <w:t>非甲烷总烃</w:t>
            </w:r>
          </w:p>
        </w:tc>
        <w:tc>
          <w:tcPr>
            <w:tcW w:w="10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33ACFF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eastAsia="宋体"/>
                <w:color w:val="auto"/>
                <w:szCs w:val="21"/>
              </w:rPr>
              <w:t>连续监测2天，</w:t>
            </w:r>
            <w:r>
              <w:rPr>
                <w:rFonts w:hint="eastAsia" w:eastAsia="宋体"/>
                <w:color w:val="auto"/>
                <w:szCs w:val="21"/>
              </w:rPr>
              <w:t>3</w:t>
            </w:r>
            <w:r>
              <w:rPr>
                <w:rFonts w:eastAsia="宋体"/>
                <w:color w:val="auto"/>
                <w:szCs w:val="21"/>
              </w:rPr>
              <w:t>次/天</w:t>
            </w:r>
          </w:p>
        </w:tc>
        <w:tc>
          <w:tcPr>
            <w:tcW w:w="17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BB91DD">
            <w:pPr>
              <w:adjustRightInd w:val="0"/>
              <w:jc w:val="left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eastAsia="宋体"/>
                <w:color w:val="auto"/>
                <w:szCs w:val="21"/>
              </w:rPr>
              <w:t>《大气污染物无组织排放监测技术导则》（HJ/T 55-2000）《城镇污水处理厂污染物排放标准》（GB18918-2002）中表4厂界（防护带边缘）废气排放最高允许浓度二类标准</w:t>
            </w:r>
            <w:r>
              <w:rPr>
                <w:rFonts w:hint="eastAsia" w:eastAsia="宋体"/>
                <w:color w:val="auto"/>
                <w:szCs w:val="21"/>
                <w:lang w:eastAsia="zh-CN"/>
              </w:rPr>
              <w:t>。</w:t>
            </w:r>
          </w:p>
        </w:tc>
      </w:tr>
      <w:tr w14:paraId="67CD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B598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Q2 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2B43E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厂界下风向</w:t>
            </w:r>
          </w:p>
        </w:tc>
        <w:tc>
          <w:tcPr>
            <w:tcW w:w="97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F5AA4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0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46A28E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7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0FF8F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  <w:tr w14:paraId="011C8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054C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Q3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0CDBE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厂界侧风向</w:t>
            </w:r>
          </w:p>
        </w:tc>
        <w:tc>
          <w:tcPr>
            <w:tcW w:w="97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D51404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0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C5F54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7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F2596A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  <w:tr w14:paraId="158E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3232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Q4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76D33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调配池西北面</w:t>
            </w:r>
          </w:p>
        </w:tc>
        <w:tc>
          <w:tcPr>
            <w:tcW w:w="97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FA83A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1"/>
                <w:lang w:val="en-US" w:eastAsia="zh-CN"/>
              </w:rPr>
              <w:t>甲烷</w:t>
            </w:r>
          </w:p>
        </w:tc>
        <w:tc>
          <w:tcPr>
            <w:tcW w:w="10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FDA0C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7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68A409">
            <w:pPr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</w:tr>
    </w:tbl>
    <w:p w14:paraId="3D0C9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4.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2有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组织废气监测</w:t>
      </w:r>
    </w:p>
    <w:p w14:paraId="132EF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本次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共设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1个有组织废气监测点，具体监测点位置见表3-5及附图，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监测期间同时观测气温、气压、风向、风速、云量等气象要素。记录监测点的坐标信息，对设备及周边环境进行拍照记录，对监测期间厂区运行工况（技改扩建项目）进行记录。环境空气监测必须在晴朗天气情况下进行。</w:t>
      </w:r>
    </w:p>
    <w:p w14:paraId="593A5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>表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  <w:lang w:val="en-US" w:eastAsia="zh-CN"/>
        </w:rPr>
        <w:t>3-5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 xml:space="preserve">  环境空气监测布点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486"/>
        <w:gridCol w:w="1527"/>
        <w:gridCol w:w="1737"/>
        <w:gridCol w:w="3237"/>
      </w:tblGrid>
      <w:tr w14:paraId="361AE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E061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编号</w:t>
            </w:r>
          </w:p>
        </w:tc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651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  <w:t>监测点位名称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87E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监测因子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102C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监测频次及时间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5FBB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  <w:t>监测方法及评价标准</w:t>
            </w:r>
          </w:p>
        </w:tc>
      </w:tr>
      <w:tr w14:paraId="31F1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1A7F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Q5</w:t>
            </w:r>
          </w:p>
        </w:tc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A5A4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排气筒进口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B55D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非甲烷总烃</w:t>
            </w:r>
          </w:p>
        </w:tc>
        <w:tc>
          <w:tcPr>
            <w:tcW w:w="101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58A098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连续监测2天，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</w:rPr>
              <w:t>次/天</w:t>
            </w:r>
          </w:p>
        </w:tc>
        <w:tc>
          <w:tcPr>
            <w:tcW w:w="189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5606A6">
            <w:pPr>
              <w:adjustRightInd w:val="0"/>
              <w:jc w:val="left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  <w:t>《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固定污染源废气废气监测技术规范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  <w:t>》（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HJ/T397-2007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</w:rPr>
              <w:t>《恶臭污染物排放标准》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《大气污染物综合排放标准》(GB 16297-1996)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7FF7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59E5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Q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D983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  <w:t>排气筒出口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046BA3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硫化氢、氨气、臭气浓度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非甲烷总烃</w:t>
            </w:r>
          </w:p>
        </w:tc>
        <w:tc>
          <w:tcPr>
            <w:tcW w:w="101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C348F">
            <w:pPr>
              <w:adjustRightInd w:val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8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3EC9F">
            <w:pPr>
              <w:adjustRightInd w:val="0"/>
              <w:jc w:val="left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</w:p>
        </w:tc>
      </w:tr>
    </w:tbl>
    <w:p w14:paraId="32E058B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5、噪声监测</w:t>
      </w:r>
    </w:p>
    <w:p w14:paraId="7A3F5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本次共设4个噪声监测点位，具体监测点位置见表3-6及附图，</w:t>
      </w:r>
      <w:r>
        <w:rPr>
          <w:rFonts w:hint="default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应在无雨雪、无雷电天气，风速5m/s以下时</w:t>
      </w:r>
      <w:r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及正常工况下</w:t>
      </w:r>
      <w:r>
        <w:rPr>
          <w:rFonts w:hint="default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进行。记录监测点的坐标信息，对设备及周边环境进行拍照记录</w:t>
      </w:r>
      <w:r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。</w:t>
      </w:r>
    </w:p>
    <w:p w14:paraId="476A449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u w:val="none"/>
          <w:lang w:val="en-US" w:eastAsia="zh-CN" w:bidi="ar-SA"/>
        </w:rPr>
        <w:t>表3-6   废水监测点位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146"/>
        <w:gridCol w:w="1366"/>
        <w:gridCol w:w="2303"/>
        <w:gridCol w:w="1918"/>
      </w:tblGrid>
      <w:tr w14:paraId="5929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461" w:type="pct"/>
            <w:vAlign w:val="center"/>
          </w:tcPr>
          <w:p w14:paraId="4D8AAE27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监测</w:t>
            </w:r>
          </w:p>
          <w:p w14:paraId="668DBDDF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点位</w:t>
            </w:r>
          </w:p>
        </w:tc>
        <w:tc>
          <w:tcPr>
            <w:tcW w:w="1259" w:type="pct"/>
            <w:vAlign w:val="center"/>
          </w:tcPr>
          <w:p w14:paraId="2D930CE7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位置</w:t>
            </w:r>
          </w:p>
        </w:tc>
        <w:tc>
          <w:tcPr>
            <w:tcW w:w="801" w:type="pct"/>
            <w:vAlign w:val="center"/>
          </w:tcPr>
          <w:p w14:paraId="0A9A707E">
            <w:pPr>
              <w:tabs>
                <w:tab w:val="center" w:pos="1174"/>
                <w:tab w:val="right" w:pos="2230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  <w:t>监测因子</w:t>
            </w:r>
          </w:p>
        </w:tc>
        <w:tc>
          <w:tcPr>
            <w:tcW w:w="1351" w:type="pct"/>
            <w:vAlign w:val="center"/>
          </w:tcPr>
          <w:p w14:paraId="1A6C9BC9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  <w:t>监测频次</w:t>
            </w:r>
          </w:p>
        </w:tc>
        <w:tc>
          <w:tcPr>
            <w:tcW w:w="1125" w:type="pct"/>
            <w:vAlign w:val="center"/>
          </w:tcPr>
          <w:p w14:paraId="2636AB84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  <w:t>监测方法及</w:t>
            </w:r>
          </w:p>
          <w:p w14:paraId="36E5C947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lang w:eastAsia="zh-CN"/>
              </w:rPr>
              <w:t>评价标准</w:t>
            </w:r>
          </w:p>
        </w:tc>
      </w:tr>
      <w:tr w14:paraId="67F5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1" w:type="pct"/>
            <w:vAlign w:val="center"/>
          </w:tcPr>
          <w:p w14:paraId="69091D9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  <w:t>1</w:t>
            </w:r>
          </w:p>
        </w:tc>
        <w:tc>
          <w:tcPr>
            <w:tcW w:w="1259" w:type="pct"/>
            <w:vAlign w:val="center"/>
          </w:tcPr>
          <w:p w14:paraId="2724A6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厂区东面厂界外1m</w:t>
            </w:r>
          </w:p>
        </w:tc>
        <w:tc>
          <w:tcPr>
            <w:tcW w:w="801" w:type="pct"/>
            <w:vMerge w:val="restart"/>
            <w:vAlign w:val="center"/>
          </w:tcPr>
          <w:p w14:paraId="75EB88E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等效连续A声级Leq（A）</w:t>
            </w:r>
          </w:p>
        </w:tc>
        <w:tc>
          <w:tcPr>
            <w:tcW w:w="1351" w:type="pct"/>
            <w:vMerge w:val="restart"/>
            <w:vAlign w:val="center"/>
          </w:tcPr>
          <w:p w14:paraId="7A963DB5">
            <w:pPr>
              <w:jc w:val="left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连续监测2天，每天昼夜各1次（昼间时段安排在6:00-22:00时进行，夜间时段安排在22:00-06:00时进行）。</w:t>
            </w:r>
          </w:p>
        </w:tc>
        <w:tc>
          <w:tcPr>
            <w:tcW w:w="1125" w:type="pct"/>
            <w:vMerge w:val="restart"/>
            <w:vAlign w:val="center"/>
          </w:tcPr>
          <w:p w14:paraId="51417A88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《工业企业厂界环境噪声排放标准》（GB 12348-2008）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类标准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 w14:paraId="3E66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1" w:type="pct"/>
            <w:vAlign w:val="center"/>
          </w:tcPr>
          <w:p w14:paraId="021023C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  <w:t>2</w:t>
            </w:r>
          </w:p>
        </w:tc>
        <w:tc>
          <w:tcPr>
            <w:tcW w:w="1259" w:type="pct"/>
            <w:vAlign w:val="center"/>
          </w:tcPr>
          <w:p w14:paraId="518F84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厂区南面厂界外1m</w:t>
            </w:r>
          </w:p>
        </w:tc>
        <w:tc>
          <w:tcPr>
            <w:tcW w:w="801" w:type="pct"/>
            <w:vMerge w:val="continue"/>
            <w:vAlign w:val="center"/>
          </w:tcPr>
          <w:p w14:paraId="685CB60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</w:p>
        </w:tc>
        <w:tc>
          <w:tcPr>
            <w:tcW w:w="1351" w:type="pct"/>
            <w:vMerge w:val="continue"/>
            <w:vAlign w:val="center"/>
          </w:tcPr>
          <w:p w14:paraId="272FB3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125" w:type="pct"/>
            <w:vMerge w:val="continue"/>
            <w:vAlign w:val="center"/>
          </w:tcPr>
          <w:p w14:paraId="71B4067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1DD3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1" w:type="pct"/>
            <w:vAlign w:val="center"/>
          </w:tcPr>
          <w:p w14:paraId="7954A6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N3</w:t>
            </w:r>
          </w:p>
        </w:tc>
        <w:tc>
          <w:tcPr>
            <w:tcW w:w="1259" w:type="pct"/>
            <w:vAlign w:val="center"/>
          </w:tcPr>
          <w:p w14:paraId="1547B0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厂区西面厂界外1m</w:t>
            </w:r>
          </w:p>
        </w:tc>
        <w:tc>
          <w:tcPr>
            <w:tcW w:w="801" w:type="pct"/>
            <w:vMerge w:val="continue"/>
            <w:vAlign w:val="center"/>
          </w:tcPr>
          <w:p w14:paraId="68CD05A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</w:p>
        </w:tc>
        <w:tc>
          <w:tcPr>
            <w:tcW w:w="1351" w:type="pct"/>
            <w:vMerge w:val="continue"/>
            <w:vAlign w:val="center"/>
          </w:tcPr>
          <w:p w14:paraId="4DC4AA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125" w:type="pct"/>
            <w:vMerge w:val="continue"/>
            <w:vAlign w:val="center"/>
          </w:tcPr>
          <w:p w14:paraId="3BB54A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</w:tr>
      <w:tr w14:paraId="55BA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1" w:type="pct"/>
            <w:vAlign w:val="center"/>
          </w:tcPr>
          <w:p w14:paraId="01CD9A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N4</w:t>
            </w:r>
          </w:p>
        </w:tc>
        <w:tc>
          <w:tcPr>
            <w:tcW w:w="1259" w:type="pct"/>
            <w:vAlign w:val="center"/>
          </w:tcPr>
          <w:p w14:paraId="01E4AC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厂区北面厂界外1m</w:t>
            </w:r>
          </w:p>
        </w:tc>
        <w:tc>
          <w:tcPr>
            <w:tcW w:w="801" w:type="pct"/>
            <w:vMerge w:val="continue"/>
            <w:vAlign w:val="center"/>
          </w:tcPr>
          <w:p w14:paraId="21A266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eastAsia="zh-CN"/>
              </w:rPr>
            </w:pPr>
          </w:p>
        </w:tc>
        <w:tc>
          <w:tcPr>
            <w:tcW w:w="1351" w:type="pct"/>
            <w:vMerge w:val="continue"/>
            <w:vAlign w:val="center"/>
          </w:tcPr>
          <w:p w14:paraId="697A2E5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  <w:tc>
          <w:tcPr>
            <w:tcW w:w="1125" w:type="pct"/>
            <w:vMerge w:val="continue"/>
            <w:vAlign w:val="center"/>
          </w:tcPr>
          <w:p w14:paraId="0027EF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</w:tr>
    </w:tbl>
    <w:p w14:paraId="351602E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</w:pPr>
    </w:p>
    <w:p w14:paraId="143C698F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</w:pPr>
      <w:r>
        <w:rPr>
          <w:rFonts w:hint="eastAsia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t>6、污泥鉴别</w:t>
      </w:r>
    </w:p>
    <w:p w14:paraId="623631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污水处理厂产生污泥根据《河池市大任产业园污水处理厂（江南污水处理厂二期）项目环境影响报告书》，应对收集后的污泥进行危险废物鉴别，如为一般固体废物，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则装车外运至政府指定的污泥处置地点处置，鉴别结果若是危险废物，委托具有危废处理处置相关资质的单位进行污泥的最终处置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。</w:t>
      </w:r>
    </w:p>
    <w:p w14:paraId="00ACD1AC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/>
          <w:b/>
          <w:bCs/>
          <w:color w:val="auto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表3-8   污泥鉴别基本情况一览表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980"/>
        <w:gridCol w:w="1440"/>
        <w:gridCol w:w="3533"/>
      </w:tblGrid>
      <w:tr w14:paraId="4797C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81F12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b/>
                <w:bCs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eastAsia="zh-CN"/>
              </w:rPr>
              <w:t>监测点位</w:t>
            </w:r>
          </w:p>
        </w:tc>
        <w:tc>
          <w:tcPr>
            <w:tcW w:w="1980" w:type="dxa"/>
          </w:tcPr>
          <w:p w14:paraId="509293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b/>
                <w:bCs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eastAsia="zh-CN"/>
              </w:rPr>
              <w:t>监测因子</w:t>
            </w:r>
          </w:p>
        </w:tc>
        <w:tc>
          <w:tcPr>
            <w:tcW w:w="1440" w:type="dxa"/>
          </w:tcPr>
          <w:p w14:paraId="684828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b/>
                <w:bCs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eastAsia="zh-CN"/>
              </w:rPr>
              <w:t>监测频次</w:t>
            </w:r>
          </w:p>
        </w:tc>
        <w:tc>
          <w:tcPr>
            <w:tcW w:w="3533" w:type="dxa"/>
          </w:tcPr>
          <w:p w14:paraId="5A38CE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eastAsia="zh-CN"/>
              </w:rPr>
              <w:t>监测方法及评价标准</w:t>
            </w:r>
          </w:p>
        </w:tc>
      </w:tr>
      <w:tr w14:paraId="485B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Align w:val="center"/>
          </w:tcPr>
          <w:p w14:paraId="7EA616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Y1污泥暂存间</w:t>
            </w:r>
          </w:p>
        </w:tc>
        <w:tc>
          <w:tcPr>
            <w:tcW w:w="1980" w:type="dxa"/>
            <w:vAlign w:val="center"/>
          </w:tcPr>
          <w:p w14:paraId="40A45F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总铅、氰化物、总汞、pH值、总镍、甲苯、硝基苯类、总铬、总镉、总锌、烷基汞、总铜、六价铬、总砷</w:t>
            </w:r>
          </w:p>
        </w:tc>
        <w:tc>
          <w:tcPr>
            <w:tcW w:w="1440" w:type="dxa"/>
            <w:vAlign w:val="center"/>
          </w:tcPr>
          <w:p w14:paraId="7109F8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vertAlign w:val="baseline"/>
                <w:lang w:eastAsia="zh-CN"/>
              </w:rPr>
              <w:t>采样</w:t>
            </w:r>
            <w:r>
              <w:rPr>
                <w:rFonts w:hint="default" w:ascii="Times New Roman" w:hAnsi="Times New Roman" w:eastAsia="宋体" w:cs="Times New Roman"/>
                <w:color w:val="auto"/>
                <w:vertAlign w:val="baseline"/>
                <w:lang w:val="en-US" w:eastAsia="zh-CN"/>
              </w:rPr>
              <w:t>1天/次</w:t>
            </w:r>
          </w:p>
        </w:tc>
        <w:tc>
          <w:tcPr>
            <w:tcW w:w="3533" w:type="dxa"/>
          </w:tcPr>
          <w:p w14:paraId="135FAE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  <w:t>《危险废物鉴别标准  腐蚀性鉴别》（GB 5085.1—2007 ）、《固体废物 浸出毒性浸出方法  硫酸硝酸法》（HJT 299-2007）</w:t>
            </w: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instrText xml:space="preserve"> HYPERLINK "http://www.mee.gov.cn/ywgz/fgbz/bz/bzwb/trhj/201807/W020190626595212456114.pdf" </w:instrTex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土壤环境质量 农用地土壤污染风险管控标准（试行）》(GB 15618—2018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)、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《固体废物  浸出毒性浸出方法 水平振荡法》（HJ557-2010）</w:t>
            </w:r>
            <w: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instrText xml:space="preserve"> HYPERLINK "http://www.mee.gov.cn/ywgz/fgbz/bz/bzwb/trhj/201807/W020190626595212456114.pdf" </w:instrTex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土壤环境质量 农用地土壤污染风险管控标准（试行）》(GB 15618—2018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>)</w:t>
            </w:r>
          </w:p>
        </w:tc>
      </w:tr>
    </w:tbl>
    <w:p w14:paraId="42B49365">
      <w:pPr>
        <w:keepNext w:val="0"/>
        <w:keepLines w:val="0"/>
        <w:widowControl/>
        <w:suppressLineNumbers w:val="0"/>
        <w:jc w:val="left"/>
        <w:rPr>
          <w:color w:val="auto"/>
        </w:rPr>
      </w:pPr>
    </w:p>
    <w:p w14:paraId="4256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left"/>
        <w:textAlignment w:val="auto"/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</w:p>
    <w:p w14:paraId="01A39BB2">
      <w:pPr>
        <w:keepNext w:val="0"/>
        <w:keepLines w:val="0"/>
        <w:widowControl/>
        <w:suppressLineNumbers w:val="0"/>
        <w:jc w:val="left"/>
        <w:rPr>
          <w:color w:val="auto"/>
        </w:rPr>
      </w:pPr>
    </w:p>
    <w:p w14:paraId="1F1546D7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Times New Roman" w:cs="Times New Roman" w:hAnsiTheme="minorHAnsi" w:eastAsiaTheme="minorEastAsia"/>
          <w:b/>
          <w:bCs/>
          <w:color w:val="auto"/>
          <w:kern w:val="44"/>
          <w:sz w:val="28"/>
          <w:szCs w:val="28"/>
          <w:u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3FAF966">
      <w:pPr>
        <w:jc w:val="both"/>
        <w:rPr>
          <w:color w:val="auto"/>
        </w:rPr>
      </w:pPr>
      <w:r>
        <w:rPr>
          <w:rFonts w:hint="eastAsia" w:cstheme="minorBidi"/>
          <w:color w:val="auto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-57785</wp:posOffset>
            </wp:positionV>
            <wp:extent cx="6188710" cy="6363970"/>
            <wp:effectExtent l="0" t="0" r="2540" b="17780"/>
            <wp:wrapNone/>
            <wp:docPr id="4" name="图片 4" descr="38487395089eb92b4f63455d3baec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8487395089eb92b4f63455d3baec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36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D6C82D">
      <w:pPr>
        <w:tabs>
          <w:tab w:val="right" w:pos="8306"/>
        </w:tabs>
        <w:bidi w:val="0"/>
        <w:jc w:val="left"/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4081780</wp:posOffset>
                </wp:positionV>
                <wp:extent cx="164465" cy="165100"/>
                <wp:effectExtent l="6350" t="6350" r="19685" b="19050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9565" y="5194300"/>
                          <a:ext cx="164465" cy="1651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2.05pt;margin-top:321.4pt;height:13pt;width:12.95pt;z-index:251662336;v-text-anchor:middle;mso-width-relative:page;mso-height-relative:page;" fillcolor="#FFFF00" filled="t" stroked="t" coordsize="21600,21600" o:gfxdata="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QsRDjZAAAACwEAAA8AAAAAAAAAAQAgAAAAIgAAAGRy&#10;cy9kb3ducmV2LnhtbFBLAQIUABQAAAAIAIdO4kBC8FKtdgIAAAIFAAAOAAAAAAAAAAEAIAAAACgB&#10;AABkcnMvZTJvRG9jLnhtbFBLBQYAAAAABgAGAFkBAAAQBgAAAAA=&#10;">
                <v:fill on="t" focussize="0,0"/>
                <v:stroke weight="1pt" color="#FFFF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6325235</wp:posOffset>
                </wp:positionV>
                <wp:extent cx="4450715" cy="5715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97990" y="7775575"/>
                          <a:ext cx="445071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FF5B8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附图1  监测布点图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9pt;margin-top:498.05pt;height:45pt;width:350.45pt;z-index:251660288;mso-width-relative:page;mso-height-relative:page;" filled="f" stroked="f" coordsize="21600,21600" o:gfxdata="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R3ev9oAAAALAQAADwAAAAAAAAAB&#10;ACAAAAAiAAAAZHJzL2Rvd25yZXYueG1sUEsBAhQAFAAAAAgAh07iQFjPIwBHAgAAcg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3FF5B8"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附图1  监测布点图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color w:val="auto"/>
          <w:kern w:val="2"/>
          <w:sz w:val="21"/>
          <w:szCs w:val="24"/>
          <w:lang w:val="en-US" w:eastAsia="zh-CN" w:bidi="ar-SA"/>
        </w:rPr>
        <w:tab/>
      </w:r>
    </w:p>
    <w:p w14:paraId="1EE5294F">
      <w:pPr>
        <w:jc w:val="both"/>
        <w:rPr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4311650</wp:posOffset>
                </wp:positionV>
                <wp:extent cx="4450715" cy="5715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71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1272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附图2  地表水监测布点图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95pt;margin-top:339.5pt;height:45pt;width:350.45pt;z-index:251661312;mso-width-relative:page;mso-height-relative:page;" filled="f" stroked="f" coordsize="21600,21600" o:gfxdata="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zoYSb3AAAAAwBAAAPAAAAAAAAAAEAIAAAACIAAABk&#10;cnMvZG93bnJldi54bWxQSwECFAAUAAAACACHTuJATnavS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41272"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附图2  地表水监测布点图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drawing>
          <wp:inline distT="0" distB="0" distL="114300" distR="114300">
            <wp:extent cx="8820150" cy="4076700"/>
            <wp:effectExtent l="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01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25476"/>
    <w:rsid w:val="06C6575A"/>
    <w:rsid w:val="1AD12E17"/>
    <w:rsid w:val="1CD1617F"/>
    <w:rsid w:val="293A4916"/>
    <w:rsid w:val="327A5A60"/>
    <w:rsid w:val="3B176CA2"/>
    <w:rsid w:val="4A47687C"/>
    <w:rsid w:val="505C0651"/>
    <w:rsid w:val="53551DFD"/>
    <w:rsid w:val="5A736D06"/>
    <w:rsid w:val="62C25476"/>
    <w:rsid w:val="68330A03"/>
    <w:rsid w:val="6B406E9F"/>
    <w:rsid w:val="6C0232AE"/>
    <w:rsid w:val="6C792E5D"/>
    <w:rsid w:val="72716B12"/>
    <w:rsid w:val="729B5B1D"/>
    <w:rsid w:val="7691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240" w:lineRule="atLeast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准正文"/>
    <w:basedOn w:val="1"/>
    <w:qFormat/>
    <w:uiPriority w:val="0"/>
    <w:pPr>
      <w:widowControl/>
      <w:spacing w:line="360" w:lineRule="auto"/>
      <w:ind w:firstLine="480" w:firstLineChars="200"/>
      <w:jc w:val="left"/>
    </w:pPr>
    <w:rPr>
      <w:rFonts w:ascii="Calibri" w:hAnsi="Calibri" w:eastAsia="宋体" w:cs="Times New Roman"/>
      <w:bCs/>
      <w:sz w:val="24"/>
      <w:szCs w:val="22"/>
      <w:u w:val="single"/>
    </w:rPr>
  </w:style>
  <w:style w:type="paragraph" w:customStyle="1" w:styleId="12">
    <w:name w:val="标题1罗"/>
    <w:basedOn w:val="3"/>
    <w:qFormat/>
    <w:uiPriority w:val="0"/>
    <w:pPr>
      <w:spacing w:before="0" w:after="0" w:line="360" w:lineRule="auto"/>
    </w:pPr>
    <w:rPr>
      <w:rFonts w:cs="宋体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791</Words>
  <Characters>920</Characters>
  <Lines>0</Lines>
  <Paragraphs>0</Paragraphs>
  <TotalTime>34</TotalTime>
  <ScaleCrop>false</ScaleCrop>
  <LinksUpToDate>false</LinksUpToDate>
  <CharactersWithSpaces>935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2025-05-27T07:35:00Z</dcterms:created>
  <dc:creator>谢香琴</dc:creator>
  <cp:lastModifiedBy>陌上花开</cp:lastModifiedBy>
  <dcterms:modified xsi:type="dcterms:W3CDTF">2025-07-03T09:13:36Z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23758AF1CFE94648AA447F5FC52C23B2_13</vt:lpwstr>
  </property>
  <property fmtid="{D5CDD505-2E9C-101B-9397-08002B2CF9AE}" pid="4" name="KSOTemplateDocerSaveRecord">
    <vt:lpwstr>eyJoZGlkIjoiNjhlOTczZDg0YzJkNTJiMmQ4OGQ4NTJjZTBmN2I1NGUiLCJ1c2VySWQiOiIzMjE5MDY1ODgifQ==</vt:lpwstr>
  </property>
</Properties>
</file>