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E0FFD4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both"/>
        <w:textAlignment w:val="auto"/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</w:pPr>
      <w:r>
        <w:rPr>
          <w:rFonts w:hint="eastAsia" w:ascii="仿宋_GB2312" w:hAnsi="仿宋_GB2312" w:eastAsia="仿宋_GB2312" w:cs="仿宋_GB2312"/>
          <w:kern w:val="2"/>
          <w:sz w:val="32"/>
          <w:szCs w:val="32"/>
          <w:lang w:val="en-US" w:eastAsia="zh-CN" w:bidi="ar-SA"/>
        </w:rPr>
        <w:t>附件：</w:t>
      </w:r>
    </w:p>
    <w:p w14:paraId="6B179F99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  <w:r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  <w:t>机房值守服务项目</w:t>
      </w:r>
    </w:p>
    <w:p w14:paraId="5B27653F">
      <w:pPr>
        <w:keepNext w:val="0"/>
        <w:keepLines w:val="0"/>
        <w:pageBreakBefore w:val="0"/>
        <w:widowControl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660" w:lineRule="exact"/>
        <w:jc w:val="center"/>
        <w:textAlignment w:val="auto"/>
        <w:rPr>
          <w:rFonts w:hint="eastAsia" w:ascii="方正小标宋简体" w:hAnsi="方正小标宋简体" w:eastAsia="方正小标宋简体" w:cs="方正小标宋简体"/>
          <w:kern w:val="2"/>
          <w:sz w:val="44"/>
          <w:szCs w:val="44"/>
          <w:lang w:val="en-US" w:eastAsia="zh-CN" w:bidi="ar-SA"/>
        </w:rPr>
      </w:pPr>
    </w:p>
    <w:p w14:paraId="11A228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一、项目基本情况</w:t>
      </w:r>
    </w:p>
    <w:p w14:paraId="421E40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（一）项目名称：机房值守服务项目。</w:t>
      </w:r>
    </w:p>
    <w:p w14:paraId="5B07A51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（二）服务期限：自合同签订之日起1年。</w:t>
      </w:r>
    </w:p>
    <w:p w14:paraId="54D095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（三）服务要求：具体服务内容、标准及规范详见附件一《服务要求说明》。</w:t>
      </w:r>
    </w:p>
    <w:p w14:paraId="4AE47A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二、询价内容说明</w:t>
      </w:r>
    </w:p>
    <w:p w14:paraId="48D92D1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本次采购询价范围主要包括以下两项服务内容：</w:t>
      </w:r>
    </w:p>
    <w:p w14:paraId="5B1143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（一）现场值守技术服务</w:t>
      </w:r>
    </w:p>
    <w:p w14:paraId="07D6ACD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服务形式：安排技术人员在我公司指定的机房内进行现场值守。</w:t>
      </w:r>
    </w:p>
    <w:p w14:paraId="3130E9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服务时段：每周一至周日（含法定节假日），每日8:00至12:00、14:00至18:00（北京时间），合计每日8小时。</w:t>
      </w:r>
    </w:p>
    <w:p w14:paraId="4465606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服务内容涵盖机房环境巡检、设备运行状态监控、故障初步排查与报告、出入登记管理等日常运维保障工作。</w:t>
      </w:r>
    </w:p>
    <w:p w14:paraId="269FF5B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（二）远程值守技术支持服务</w:t>
      </w:r>
    </w:p>
    <w:p w14:paraId="268E3B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服务形式：在非现场值守时段，提供7×24小时不间断远程监控与技术支持。</w:t>
      </w:r>
    </w:p>
    <w:p w14:paraId="20CE22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服务响应：通过远程监控系统实时监测机房设施运行状态，并在发现异常或接报故障后，按既定流程第一时间响应处理。</w:t>
      </w:r>
    </w:p>
    <w:p w14:paraId="624112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服务范围包括但不限于系统告警处理、远程操作协助、应急响应协调等，确保机房运维全天候覆盖。</w:t>
      </w:r>
    </w:p>
    <w:p w14:paraId="6122B5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三、上限控制价</w:t>
      </w:r>
    </w:p>
    <w:p w14:paraId="3C2264B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本项目设置上限控制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价，报价金额不超过97000元（含税价）。</w:t>
      </w:r>
    </w:p>
    <w:p w14:paraId="1BD70351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FBF70E9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A3FC337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A2CCA8B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65CC56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CA52CB3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5306FCB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0964993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156EE5E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4CA2C0A7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6C58BA3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2914525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27C96286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F104300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3A82978D">
      <w:pP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7C7D614F">
      <w:pPr>
        <w:rPr>
          <w:rFonts w:hint="eastAsia" w:asciiTheme="minorEastAsia" w:hAnsiTheme="minorEastAsia" w:eastAsiaTheme="minorEastAsia" w:cstheme="minorEastAsia"/>
          <w:sz w:val="24"/>
          <w:szCs w:val="24"/>
          <w:lang w:val="en-US" w:eastAsia="zh-CN"/>
        </w:rPr>
      </w:pPr>
    </w:p>
    <w:p w14:paraId="78FB5C7B">
      <w:pP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</w:pPr>
      <w:r>
        <w:rPr>
          <w:rFonts w:hint="eastAsia" w:asciiTheme="minorEastAsia" w:hAnsiTheme="minorEastAsia" w:eastAsiaTheme="minorEastAsia" w:cstheme="minorEastAsia"/>
          <w:sz w:val="32"/>
          <w:szCs w:val="32"/>
          <w:lang w:val="en-US" w:eastAsia="zh-CN"/>
        </w:rPr>
        <w:t>附件：服务要求说明</w:t>
      </w:r>
    </w:p>
    <w:tbl>
      <w:tblPr>
        <w:tblStyle w:val="3"/>
        <w:tblW w:w="8789" w:type="dxa"/>
        <w:tblInd w:w="108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0"/>
        <w:gridCol w:w="7229"/>
      </w:tblGrid>
      <w:tr w14:paraId="7B5883BB">
        <w:trPr>
          <w:trHeight w:val="695" w:hRule="atLeast"/>
        </w:trPr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04912437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工作职责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0017B1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负责网络运行监控、故障处理、接听值班电话、机房进出登记、机房卫生、监控等运行维护工作，确保政务外网全年不间断运行。</w:t>
            </w:r>
          </w:p>
        </w:tc>
      </w:tr>
      <w:tr w14:paraId="2AD74171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4AFCEB36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对运维公司及人员要求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D35E0D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对运维公司的要求：</w:t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br w:type="textWrapping"/>
            </w: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委托运维服务公司应当按采购人需要组建素质高、专业性强、稳定的运维团队。团队值班人员需具备基本网络运行监控、故障处理等运行维护能力、机房管理经验等条件，团队成员应包含网络工程师和通信工程师，确保政务外网全年不间断运行。除运维团队外，运维公司还应提供专业技术支撑团队，配置至少包括：</w:t>
            </w:r>
          </w:p>
          <w:p w14:paraId="4511C27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1.技术专家：在驻场服务人员遇到突发情况或疑难问题时，为软硬件系统及平台维护提供专项支撑服务；</w:t>
            </w:r>
          </w:p>
          <w:p w14:paraId="0625582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2.网络专家：网络设备、安全设备的配置、网络测试、维护管理；</w:t>
            </w:r>
          </w:p>
          <w:p w14:paraId="2AFEC2ED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3.安全专家：安全设备的配置、维护管理、安全测试和安全评估等；</w:t>
            </w:r>
          </w:p>
          <w:p w14:paraId="6D4A27D5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运维人员应当具备如下要求：</w:t>
            </w:r>
          </w:p>
          <w:p w14:paraId="61DF7F9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1.拥护党的路线方针和政策，具有良好的政治思想素质和职业道德，以及较强的安全和保密意识；</w:t>
            </w:r>
          </w:p>
          <w:p w14:paraId="6A8FF054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2.大专以上学历，计算机或网络通讯类专业毕业(具相关经验优秀人才可适当放宽)；</w:t>
            </w:r>
          </w:p>
          <w:p w14:paraId="1A863912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3.具备解决常见网络故障的能力，熟悉软硬件维护,至少一人为中级工程师需具备H3CNE认证工程师同等或以上资质认证；</w:t>
            </w:r>
          </w:p>
          <w:p w14:paraId="23B957B9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4.年龄满18周岁-35岁之间；</w:t>
            </w:r>
          </w:p>
          <w:p w14:paraId="0F3B758B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5.具有良好的沟通表达能力和协调能力，有强烈的责任心，良好的团队合作精神。</w:t>
            </w:r>
          </w:p>
        </w:tc>
      </w:tr>
      <w:tr w14:paraId="01B6BE4E"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5" w:hRule="atLeast"/>
        </w:trPr>
        <w:tc>
          <w:tcPr>
            <w:tcW w:w="15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vAlign w:val="center"/>
          </w:tcPr>
          <w:p w14:paraId="6D223C8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服务内容</w:t>
            </w:r>
          </w:p>
        </w:tc>
        <w:tc>
          <w:tcPr>
            <w:tcW w:w="72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 w14:paraId="47B3A9BC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1.接听值班电话：接听受理电子政务外网城域网、市县（区）广域网等网络故障申报和业务申请。</w:t>
            </w:r>
          </w:p>
          <w:p w14:paraId="014B6C8E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2.机房运维（包括市电子政务外网核心机房和宜州区两节点机房）：负责机房的温湿度、动力环境监测，机房人员、设备进出登记管理，设备安装、机房线缆布放、网络跳线、标签规范、卫生打扫、设备清洁。对机房的网络设备、安全设备、供电系统、UPS、精密空调等设备进行日常巡检。</w:t>
            </w:r>
          </w:p>
          <w:p w14:paraId="3C487781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3.城域网运维：负责城域网各种设备、互联网出口、单位接入专线的故障排查及处理。</w:t>
            </w:r>
          </w:p>
          <w:p w14:paraId="47EBEE31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4.广域网运维：受理电子政务市县（区）广域网故障申报，对接自治区政务外网值班室、运营商排查处理广域网运维故障。</w:t>
            </w:r>
          </w:p>
          <w:p w14:paraId="5CEC2F2F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5.接入单位技术支持：负责接入单位内部局域网技术支持、故障排查及处理,一般故障要求当场处理完成，特殊故障如涉及施工或更换配件的，提出技术方案，涉及费用的由用户单位自行处理；</w:t>
            </w:r>
          </w:p>
          <w:p w14:paraId="20183B1A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6.网络安全：负责日常网络安全管理，包括防火墙、安全态势感知、VPN、入侵检测系统、网页防篡改系统、数据库审计系统、WAF、SNI、防病毒和网闸等安全设备及系统的运行维护管理；负责监测城域网网络安全态势，根据安全态势感知系统告警通知用户单位查处失陷的主机，负责处理自治区或网络安全部门下发的网络安全监测报告、整改通知等，并撰写整改报告。</w:t>
            </w:r>
          </w:p>
          <w:p w14:paraId="2F7DCD19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7.技术支持服务：提供城域网网络和安全设备技术支持服务，配合完成各项网络配置任务。</w:t>
            </w:r>
          </w:p>
          <w:p w14:paraId="64AC28E6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8.重要活动会议、重大节日、紧急事件支撑服务：在重要活动会议、重大事件前或节假日前对设备进行巡检，增加维护服务的人员和安排资深工程师进行现场值守保障，确保政务外网正常运行。</w:t>
            </w:r>
          </w:p>
          <w:p w14:paraId="3D1DD3F2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9.文档交付服务：在服务过程或结束时，提交相应服务记录和过程文档。包含但不限于以下内容：①每次服务事件单。②每月巡检报告。③年度总结报告。④重大事件说明报告。</w:t>
            </w:r>
          </w:p>
          <w:p w14:paraId="4B2375C5">
            <w:pP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4"/>
                <w:szCs w:val="24"/>
                <w:lang w:val="en-US" w:eastAsia="zh-CN"/>
              </w:rPr>
              <w:t>10.配合完成其它电子政务外网相关工作任务。</w:t>
            </w:r>
          </w:p>
        </w:tc>
      </w:tr>
    </w:tbl>
    <w:p w14:paraId="2006C9BA">
      <w:pPr>
        <w:rPr>
          <w:rFonts w:hint="default" w:ascii="等线" w:hAnsi="等线" w:eastAsia="等线" w:cs="Times New Roman"/>
          <w:sz w:val="21"/>
          <w:szCs w:val="22"/>
          <w:lang w:val="en-US" w:eastAsia="zh-CN"/>
        </w:rPr>
      </w:pPr>
    </w:p>
    <w:p w14:paraId="14A9B8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066A8B2D"/>
    <w:sectPr>
      <w:pgSz w:w="11906" w:h="16838"/>
      <w:pgMar w:top="2098" w:right="1474" w:bottom="1984" w:left="1587" w:header="851" w:footer="992" w:gutter="0"/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300E028"/>
    <w:multiLevelType w:val="singleLevel"/>
    <w:tmpl w:val="F300E028"/>
    <w:lvl w:ilvl="0" w:tentative="0">
      <w:start w:val="1"/>
      <w:numFmt w:val="decimal"/>
      <w:pStyle w:val="5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1"/>
  <w:displayVerticalDrawingGridEvery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D86067B"/>
    <w:rsid w:val="28DD6344"/>
    <w:rsid w:val="4AE17CB9"/>
    <w:rsid w:val="4BE253E4"/>
    <w:rsid w:val="4F6C00C6"/>
    <w:rsid w:val="710351DC"/>
    <w:rsid w:val="759842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5">
    <w:name w:val="政府公文"/>
    <w:basedOn w:val="2"/>
    <w:next w:val="1"/>
    <w:qFormat/>
    <w:uiPriority w:val="0"/>
    <w:pPr>
      <w:numPr>
        <w:ilvl w:val="0"/>
        <w:numId w:val="1"/>
      </w:numPr>
      <w:spacing w:line="500" w:lineRule="exact"/>
    </w:pPr>
    <w:rPr>
      <w:rFonts w:hint="eastAsia" w:ascii="黑体" w:hAnsi="黑体" w:eastAsia="仿宋_GB2312" w:cs="黑体"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1688</Words>
  <Characters>1742</Characters>
  <Lines>0</Lines>
  <Paragraphs>0</Paragraphs>
  <TotalTime>0</TotalTime>
  <ScaleCrop>false</ScaleCrop>
  <LinksUpToDate>false</LinksUpToDate>
  <CharactersWithSpaces>1742</CharactersWithSpaces>
  <Application>WPS Office_12.1.0.23125_F1E327BC-269C-435d-A152-05C5408002CA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2023-01-28T00:32:00Z</dcterms:created>
  <dc:creator>Administrator</dc:creator>
  <cp:lastModifiedBy>蒙国栋</cp:lastModifiedBy>
  <dcterms:modified xsi:type="dcterms:W3CDTF">2025-10-27T08:06:08Z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2052-12.1.0.23125</vt:lpwstr>
  </property>
  <property fmtid="{D5CDD505-2E9C-101B-9397-08002B2CF9AE}" pid="3" name="ICV">
    <vt:lpwstr>9BF250F5786046FABAC8BF1E33899EE1</vt:lpwstr>
  </property>
  <property fmtid="{D5CDD505-2E9C-101B-9397-08002B2CF9AE}" pid="4" name="KSOTemplateDocerSaveRecord">
    <vt:lpwstr>eyJoZGlkIjoiZmEwNDM1NTMxNTcwMDQ5NTU4NTc4M2MyNjhlMjExYTYiLCJ1c2VySWQiOiIyMDk4OTU5OTIifQ==</vt:lpwstr>
  </property>
</Properties>
</file>